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WBE.2006.208 vom 7. Februar 2007</w:t>
      </w:r>
    </w:p>
    <w:p>
      <w:r>
        <w:t>AG Verwaltungsgericht, 2007-02-07, DE</w:t>
      </w:r>
    </w:p>
    <w:p>
      <w:r>
        <w:rPr>
          <w:b/>
        </w:rPr>
        <w:t xml:space="preserve">Quelle: </w:t>
      </w:r>
      <w:r>
        <w:t>https://mcp.opencaselaw.ch/entscheid/ag_verwaltungsgericht_WBE.2006.208</w:t>
      </w:r>
    </w:p>
    <w:p>
      <w:r>
        <w:t>FR: AG_VERWALTUNGSGERICHT WBE.2006.208 du 7 février 2007</w:t>
      </w:r>
    </w:p>
    <w:p>
      <w:r>
        <w:t>IT: AG_VERWALTUNGSGERICHT WBE.2006.208 del 7 febbraio 2007</w:t>
      </w:r>
    </w:p>
    <w:p>
      <w:pPr>
        <w:pStyle w:val="Heading2"/>
      </w:pPr>
      <w:r>
        <w:t>Regeste</w:t>
      </w:r>
    </w:p>
    <w:p>
      <w:r>
        <w:t>Allgemeine Abzüge. - Zuwendungen an die steuerbefreiten politischen Parteien sind abzugsfähig.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Allgemeine Abzüge. - Zuwendungen an die steuerbefreiten politischen Parteien sind abzugsfähig. Entscheid des Verwaltungsgerichts, 2. Kammer, vom 7. Februar 2007 in Sachen Kantonales Steueramt gegen Steuerrekursgericht und E.T. (WBE.2006.208). Publiziert in StE 2007, B 27.4 Nr. 18. (Hinweis: das Bundesgericht hat später entgegengesetzt entschieden: Urteil 2A.647/2005 = StE 2007, A 23.14)</w:t>
      </w:r>
    </w:p>
    <w:p>
      <w:r>
        <w:t>92 Verwaltungsgericht 2007</w:t>
      </w:r>
    </w:p>
    <w:p>
      <w:r>
        <w:rPr>
          <w:b/>
        </w:rPr>
        <w:t>E. 26</w:t>
      </w:r>
    </w:p>
    <w:p>
      <w:r>
        <w:t>Nachweis des Vertretungsverhältnisses. Fristwiederherstellung. - Die Bekanntgabe eines Vertretungsverhältnisses für eine bestimmte Steuerperiode bezieht sich nicht auch auf frühere Steuerperioden (Erw. 1.1). - Voraussetzungen der Fristwiederherstellung (Erw. 2). vgl. AGVE 2007 48 211</w:t>
      </w:r>
    </w:p>
    <w:p>
      <w:r>
        <w:rPr>
          <w:b/>
        </w:rPr>
        <w:t>E. 27</w:t>
      </w:r>
    </w:p>
    <w:p>
      <w:r>
        <w:t>Treu und Glauben. Anspruch auf Veranlagung gemäss einer zuvor erhaltenen unrichtigen Auskunft? - Voraussetzungen für die Verbindlichkeit einer unrichtigen Auskunft. - Nachweis nachteiliger Dispositionen, wenn diese in (behaupteten) Unterlassungen bestehen. vgl. AGVE 2007 51 217</w:t>
      </w:r>
    </w:p>
    <w:p>
      <w:r>
        <w:rPr>
          <w:b/>
        </w:rPr>
        <w:t>E. 28</w:t>
      </w:r>
    </w:p>
    <w:p>
      <w:r>
        <w:t>"Ordnungsbusse" wegen Verletzung von Verfahrenspflichten im Steuer- recht (§ 235 StG). - Verfahren. Aufgaben des Kantonalen Steueramtes als Anklagebehör- de (Erw. 2-4). - Rückweisung des Verfahrens durch das Steuerrekursgericht an die Anklagebehörde (Erw. 5-6). Entscheid des Verwaltungsgerichts, 2. Kammer, vom 2. Mai 2007 in Sachen Kantonales Steueramt gegen Steuerrekursgericht und I.M. (WBE.2006.321). Aus den Erwägungen 1. Wer trotz Mahnung einer Verfahrenspflicht nach StG vor- sätzlich oder fahrlässig nicht nachkommt, namentlich die Steuerer- klärung oder die dazu verlangten Beilagen nicht einreicht, wird mit Busse bis zu Fr. 1'000.--, in schweren Fällen oder bei Rückfall bis zu Fr. 10'000.-- bestraft (§ 235 Abs. 1 StG; übereinstimmend mit Art. 55 StHG).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