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HA.2004.00018 vom 17. Juni 2004</w:t>
      </w:r>
    </w:p>
    <w:p>
      <w:r>
        <w:t>AG Verwaltungsgericht, 2004-06-17, DE</w:t>
      </w:r>
    </w:p>
    <w:p>
      <w:r>
        <w:rPr>
          <w:b/>
        </w:rPr>
        <w:t xml:space="preserve">Quelle: </w:t>
      </w:r>
      <w:r>
        <w:t>https://mcp.opencaselaw.ch/entscheid/ag_verwaltungsgericht_HA.2004.00018</w:t>
      </w:r>
    </w:p>
    <w:p>
      <w:r>
        <w:t>FR: AG_VERWALTUNGSGERICHT HA.2004.00018 du 17 juin 2004</w:t>
      </w:r>
    </w:p>
    <w:p>
      <w:r>
        <w:t>IT: AG_VERWALTUNGSGERICHT HA.2004.00018 del 17 giugno 2004</w:t>
      </w:r>
    </w:p>
    <w:p>
      <w:pPr>
        <w:pStyle w:val="Heading2"/>
      </w:pPr>
      <w:r>
        <w:t>Regeste</w:t>
      </w:r>
    </w:p>
    <w:p>
      <w:r>
        <w:t>Ausschaffungshaft; Eröffnen des Wegweisungsentscheids Aufgrund der Zustellungsfiktion gemäss Art. 12 AsylG gilt der Wegweisungsentscheid als eröffnet, wenn er an die letzte bekannte Adresse zugestellt wurde (Erw. II/2c).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Dezember 2001 trat die Fremdenpolizei, Sektion Aufenthalt, auf das Familiennachzugsgesuch mit der Begründung nicht ein, dem Adoptionsentscheid könne nicht entnommen werden, ob es sich um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