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HA.2000.00003 vom 21. Januar 2000</w:t>
      </w:r>
    </w:p>
    <w:p>
      <w:r>
        <w:t>AG Verwaltungsgericht, 2000-01-21, DE</w:t>
      </w:r>
    </w:p>
    <w:p>
      <w:r>
        <w:rPr>
          <w:b/>
        </w:rPr>
        <w:t xml:space="preserve">Quelle: </w:t>
      </w:r>
      <w:r>
        <w:t>https://mcp.opencaselaw.ch/entscheid/ag_verwaltungsgericht_HA.2000.00003</w:t>
      </w:r>
    </w:p>
    <w:p>
      <w:r>
        <w:t>FR: AG_VERWALTUNGSGERICHT HA.2000.00003 du 21 janvier 2000</w:t>
      </w:r>
    </w:p>
    <w:p>
      <w:r>
        <w:t>IT: AG_VERWALTUNGSGERICHT HA.2000.00003 del 21 gennaio 2000</w:t>
      </w:r>
    </w:p>
    <w:p>
      <w:pPr>
        <w:pStyle w:val="Heading2"/>
      </w:pPr>
      <w:r>
        <w:t>Regeste</w:t>
      </w:r>
    </w:p>
    <w:p>
      <w:r>
        <w:t>Ausschaffungshaft; Verletzung der Mitwirkungspflicht als Haftgrund. - Die Verletzung der Mitwirkungspflicht nach Art. 8 Abs. 4 AsylG stellt einen Haftgrund im Sinne von Art. 13b Abs. 1 lit. c ANAG dar (Erw. II/3).</w:t>
      </w:r>
    </w:p>
    <w:p>
      <w:pPr>
        <w:pStyle w:val="Heading2"/>
      </w:pPr>
      <w:r>
        <w:t>Erwägungen</w:t>
      </w:r>
    </w:p>
    <w:p>
      <w:r>
        <w:rPr>
          <w:b/>
        </w:rPr>
        <w:t>E. 50</w:t>
      </w:r>
    </w:p>
    <w:p>
      <w:r>
        <w:t>f.). Nach Vorliegen eines vollziehbaren Wegweisungsentscheides sind die betroffenen Personen verpflichtet, bei der Beschaffung gül- tiger Reisepapiere mitzuwirken (sog. Mitwirkungspflicht, Art. 8 Abs. 4 des Asylgesetzes [AsylG] vom 26. Juni 1998). Der Gesuchsgegner vertritt die Ansicht, es bestünde kein genü- gender Haftgrund. Zur Begründung zitierte er BGE 122 II 49 ff., wonach es zur Anordnung der Ausschaffungshaft weder genüge, dass sich der Betroffene illegal in der Schweiz aufhalte, noch dass er keine Papiere besitze und nur mangelhaft an deren Beschaffung mit- wirke. Mit Änderung des Asylgesetzes vom 26. Juni 1998 wurde die Pflicht zur Mitwirkung bei der Beschaffung gültiger Reisepapiere explizit statuiert (Art. 12b Abs. 6 des Asylgesetzes [aAsylG] vom 5. Oktober 1979, neu Art. 8 Abs. 4 AsylG). Da der zitierte höchstrich- terliche Entscheid aus dem Jahre 1996 stammt und ihm somit heute nicht mehr gültiges Recht zugrunde liegt, kann damit nicht argumen- tiert werden, das Nichtmitwirken bei der Beschaffung von Reisepa- pieren stelle für sich alleine keinen Haftgrund dar. Der Gesuchsgegner kam Anordnungen des BFF und der Frem- denpolizei, sich gültige Reisedokumente zu beschaffen, trotz mehr- maliger Aufforderung nicht nach. Er verletzte somit die Mitwir- kungspflicht gemäss Art. 8 Abs. 4 AsylG. Sein unkooperatives und gesetzwidriges Verhalten stellt ein konkretes Anzeichen dafür dar, dass er sich dem Vollzug der Wegweisung entziehen will. Dies umso mehr, als er aufgrund der angedrohten Zwangsmassnahmen hätte wissen müssen, dass die mehrfache Aufforderung zur Papierbeschaf-</w:t>
      </w:r>
    </w:p>
    <w:p>
      <w:r>
        <w:t>486 Rekursgericht im Ausländerrecht 2000 fung und Vorsprache bei der Botschaft ernst zu nehmende behördli- che Anordnungen darstellten. Die blosse Angst vor Verfolgung recht- fertigt sein Verhalten im vorliegend zu beurteilenden Verfahren in keiner Weise. Andere Rechtfertigungsgründe wurden nicht geltend gemacht. Damit ist der Haftgrund von Art. 13b Abs. 1 lit. c ANAG erfüllt. 116 Ausschaffungshaft; Nichtbefolgen einer fremdenpolizeilichen Anordnung. - Einmaliges Nichtbefolgen einer Vorladung stellt vorliegend keinen Haftgrund im Sinne von Art. 13b Abs. 1 lit. c ANAG dar (Erw. II/3b- d). Aus dem Entscheid des Präsidenten des Rekursgerichts im Ausländerrecht vom 24. Februar 2000 in Sachen Fremdenpolizei des Kantons Aargau gegen B.I. betreffend Haftüberprüfung (HA.2000.00010). Sachverhalt Der Gesuchsgegner stellte am 20. Juli 1999 ein Asylgesuch, welche das Bundesamt für Flüchtlinge (BFF) am 27. August 1999 ablehnte. Das BFF ordnete gleichzeitig die Wegweisung des Ge- suchsgegners an und setzte ihm einen Ausreisetermin. Am 30. Sep- tember 1999 wurde dem Gesuchsgegner das Schreiben "Rückkehr- programm Kosovo" ausgehändigt. Mit Schreiben vom 15. Oktober 1999 wurde er auf die Ausreisefrist hingewiesen und aufgefordert, sich gültige Reisedokumente zu beschaffen, ansonsten Zwangsmass- nahmen angeordnet werden könnten. Nachdem der Linienflugbetrieb von Zürich nach Pristina wieder aufgenommen wurde und die Bun- desbehörden die entsprechenden Reisedokumente ausstellen konnten, wurde der Gesuchsgegner mit Schreiben vom 1. Februar 2000 aufge- fordert, sich zwecks Flugbuchung unverzüglich auf der Amtsstelle der Fremdenpolizei zu melden. Gleichzeitig wurde er darauf hinge- wiesen, dass er mit der Anwendung von Zwangsmassnahmen rech-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