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AGVE_2016_53 vom 17. August 2016</w:t>
      </w:r>
    </w:p>
    <w:p>
      <w:r>
        <w:t>AG Verwaltungsgericht, 2016-08-17, DE</w:t>
      </w:r>
    </w:p>
    <w:p>
      <w:r>
        <w:rPr>
          <w:b/>
        </w:rPr>
        <w:t xml:space="preserve">Quelle: </w:t>
      </w:r>
      <w:r>
        <w:t>https://mcp.opencaselaw.ch/entscheid/ag_verwaltungsgericht_AGVE_2016_53</w:t>
      </w:r>
    </w:p>
    <w:p>
      <w:r>
        <w:t>FR: AG_VERWALTUNGSGERICHT AGVE_2016_53 du 17 août 2016</w:t>
      </w:r>
    </w:p>
    <w:p>
      <w:r>
        <w:t>IT: AG_VERWALTUNGSGERICHT AGVE_2016_53 del 17 agosto 2016</w:t>
      </w:r>
    </w:p>
    <w:p>
      <w:pPr>
        <w:pStyle w:val="Heading2"/>
      </w:pPr>
      <w:r>
        <w:t>Regeste</w:t>
      </w:r>
    </w:p>
    <w:p>
      <w:r>
        <w:t>Beschwerdebefugnis/Legitimation Beschwerdebefugnis der (Einwohner-)Gemeinde in Bausachen</w:t>
      </w:r>
    </w:p>
    <w:p>
      <w:pPr>
        <w:pStyle w:val="Heading2"/>
      </w:pPr>
      <w:r>
        <w:t>Erwägungen</w:t>
      </w:r>
    </w:p>
    <w:p>
      <w:r>
        <w:rPr>
          <w:b/>
        </w:rPr>
        <w:t>E. 1</w:t>
      </w:r>
    </w:p>
    <w:p>
      <w:r>
        <w:t>(...)</w:t>
      </w:r>
    </w:p>
    <w:p>
      <w:r>
        <w:rPr>
          <w:b/>
        </w:rPr>
        <w:t>E. 2.1</w:t>
      </w:r>
    </w:p>
    <w:p>
      <w:r>
        <w:t>In Ziffer 9. des Entscheiddispositivs wurde einer allfälligen Be schwerde die aufschiebende Wirkung entzogen. Damit wurde die ge setzliche Regelung, wonach grundsätzlich die aufschiebende Wir kung gilt (Art. 450c ZGB), abgeändert mit der Konsequenz, dass der Entscheid sofort vollsteckbar wurde, schon bevor nachträglich die Begründung zugestellt wird. Damit stellt sich die Frage, wie die Zwangsvollstreckung in der Zeitspanne zwischen der Eröffnung im Dispositiv und der Zustellung der nachträglichen Begründung über prüft werden kann. Diese Frage stellt sich analog auch für die Voll streckbarkeit von vorsorglichen Massnahmen insbesondere wenn es um die Regelung der Obhut geht. Allerdings unterscheidet sich die gesetzliche Ausgangslage insofern, als die Berufung gegen vorsorg liche Massnahmen generell keine aufschiebende Wirkung hat und die Vollstreckung ausnahmsweise aufgeschoben werden kann, wenn der</w:t>
      </w:r>
    </w:p>
    <w:p>
      <w:r>
        <w:rPr>
          <w:b/>
        </w:rPr>
        <w:t>E. 2.2</w:t>
      </w:r>
    </w:p>
    <w:p>
      <w:r>
        <w:t>(...)</w:t>
      </w:r>
    </w:p>
    <w:p>
      <w:r>
        <w:rPr>
          <w:b/>
        </w:rPr>
        <w:t>E. 2.3</w:t>
      </w:r>
    </w:p>
    <w:p>
      <w:r>
        <w:t>Fraglich ist hingegen, ob auch der Gemeinderat zur Beschwerde befugt ist (BeschwerdeverfahrenII [WBE.2015.503]). Eine Konstellation im Sinne von §42 lit.b VRPG (spezifische Ermächti gung durch Bundesrecht oder kantonales Recht) liegt vorab nicht vor. Es ist deshalb zu prüfen, ob die Beschwerdebefugnis gestützt auf §42 lit.a VRPG gegeben ist. Der Gemeinderat bringt vor, als Adres sat sei er vom angefochtenen Entscheid direkt betroffen, und er werde in seiner noch vorhandenen Gemeindeautonomie beschnitten, weshalb er beschwerdeberechtigt sei. Nach der Praxis kann sich auch eine (Einwohner )Gemeinde auf §42 lit.a VPRG (bzw. früher §38 Abs.1 des Verwaltungsrechtspfle gegesetzes vom 9.Juli 1968 [aVRPG]) berufen. Gleich wie beim pri vaten Beschwerdeführer ist vorausgesetzt, dass sie ein schutzwürdi ges eigenes Interesse geltend machen kann. Die öffentlichen Interes sen einer (Einwohner )Gemeinde sind eigene, wenn sie dem spezifi schen lokalen Lebensbereich entspringen; gemeint sind jene Belange, welche die Gemeindeeinwohner erheblich anders als die Kantonsein wohner im Allgemeinen berühren (vgl. AGVE 1989, S.305f.; 1988, S.373; 1986, S.322; VGE III/18 vom 2.März 2009 [WBE.2006.430], S.4; je mit Hinweisen). Nach ständiger Rechtspre chung des Verwaltungsgerichts ist die Einwohnergemeinde (bzw. der Gemeinderat) in Bausachen nur dann zur Beschwerde befugt, wenn die kantonale Instanz entgegen der gemeinderätlichen Verfügung eine Baubewilligung erteilt hat – weil dies zu Veränderungen in der Gemeinde führt, welche der Gemeinderat für unzulässig hält – (vgl. AGVE1989, S.306; 1986, S.322; VGEIII/5 vom 23.Januar 2014 [WBE.2013.113], S.3; VGEIII/18 vom 2.März 2009 [WBE.2006.430], S.5; MICHAEL MERKER, Rechtsmittel, Klage und Normenkontrollverfahren nach dem aargauischen Gesetz über die Verwaltungsrechtspflege, Kommentar zu den §§38 72 [a]VRPG, Diss., Zürich 1998, §38 N206), nicht hingegen, wenn eine Baubewilligung des Gemeinderats aufgehoben wird, weil dann die Situation der Gemeinde, wenn der Baugesuchsteller auf ein Rechts mittel verzichtet, nicht anders ist, als wenn überhaupt kein Bauge</w:t>
      </w:r>
    </w:p>
    <w:p>
      <w:r>
        <w:t>such eingereicht worden wäre (AGVE1989, S.306 mit diversen Hinweisen; MERKER, a.a.O., §38 N206). Es besteht im vorliegen den Fall kein Grund, von dieser Rechtsprechung abzuweichen. Selbst wenn die Baubewilligung im Beschwerdeverfahren nämlich erteilt wird, hat die Gemeinde kein Mittel, die Ausführung der Baute durch zusetzen; dies hängt völlig vom Willen des Baugesuchstellers ab (bei dem angenommen werden kann, er ergreife selbst ein Rechtsmittel, wenn er fest entschlossen ist zu bauen, so dass es in dieser Situation gar keiner eigenen Beschwerdelegitimation der Gemeinde bedarf). Es bleibt deshalb immer ungewiss, ob die Gemeinde die angestrebten Auswirkungen ihrer Beschwerde überhaupt erreichen kann. Ausser dem hat sie, wenn sie die Bautätigkeit fördern will, dies durch gene rell anwendbare und wirksame Massnahmen zu tun. Die besonders intensive Unterstützung eines Bauwilligen im Einzelfall – auch in prozessualer Hinsicht – erfüllt diese Voraussetzung nicht; sie ist nicht allgemein vorgesehen und kann es auch nicht sein, weil dies darauf hinausliefe, dass die Gemeinde in jedem Fall prozessiert, wenn sie vor der Beschwerdeinstanz nicht recht erhalten hat, also letztlich aus reiner Rechthaberei. Zudem bestünde bei derartigem Handeln im Einzelfall die erhebliche Gefahr objektiv nicht begründbarer Ungleichbehandlung (AGVE1989, S.307). Vorliegend hob die Vorinstanz die Baubewilligung des Gemein derats auf, und zwar gestützt auf verschiedene kantonale Bauvor schriften, deren Anwendung sie frei überprüfen durfte und musste (namentlich kantonale Definitionen/Begriffe bzw. Messweisen im Zusammenhang mit Geschossigkeit/Terrassierung und Gebäude länge, aber auch Strassenabstandsvorschriften und Frage, ob die Voraussetzungen für Ausnahmebewilligungen erfüllt sind). Soweit es um die Anwendung und Auslegung kantonaler Bestimmungen geht, kann sich die Gemeinde auch nicht auf ihre Autonomie berufen. Ent sprechend den vorstehenden Ausführung ist die Einwohnergemeinde (als deren Organ der Gemeinderat handelt) in einer solchen Konstellation nicht befugt, den Entscheid ans Verwaltungsgericht weiterzuziehen. Auf die Beschwerde im BeschwerdeverfahrenII (WBE.2015.503) ist demgemäss nicht einzutreten.</w:t>
      </w:r>
    </w:p>
    <w:p>
      <w:r>
        <w:t>54 Art. 450c ZGB, Art. 315 Abs. 4 lit. b und Art. 315 Abs. 5 ZPO, Art. 319 ZPO Die Anordnung des Entzugs der aufschiebenden Wirkung zusammen mit dem Hauptentscheid ohne schriftliche Begründung nur im Dispositiv zu eröffnen, so dass dagegen bis zur nachträglichen Zustellung der Begrün dung der Beschwerdeweg ausgeschlossen wird, ist in Kindesschutzverfah ren mit dem verfassungsmässigen Anspruch auf rechtliches Gehör nicht vereinbar. Aus dem Entscheid des Obergerichts, Kammer für Kindes und Erwachsenenschutz, vom 14.Juni2016 i.S S. M. (XBE.2016.34). 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