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AGVE_2007_60 vom 29. März 2007</w:t>
      </w:r>
    </w:p>
    <w:p>
      <w:r>
        <w:t>AG Verwaltungsgericht, 2007-03-29, DE</w:t>
      </w:r>
    </w:p>
    <w:p>
      <w:r>
        <w:rPr>
          <w:b/>
        </w:rPr>
        <w:t xml:space="preserve">Quelle: </w:t>
      </w:r>
      <w:r>
        <w:t>https://mcp.opencaselaw.ch/entscheid/ag_verwaltungsgericht_AGVE_2007_60</w:t>
      </w:r>
    </w:p>
    <w:p>
      <w:r>
        <w:t>FR: AG_VERWALTUNGSGERICHT AGVE_2007_60 du 29 mars 2007</w:t>
      </w:r>
    </w:p>
    <w:p>
      <w:r>
        <w:t>IT: AG_VERWALTUNGSGERICHT AGVE_2007_60 del 29 marzo 2007</w:t>
      </w:r>
    </w:p>
    <w:p>
      <w:pPr>
        <w:pStyle w:val="Heading2"/>
      </w:pPr>
      <w:r>
        <w:t>Regeste</w:t>
      </w:r>
    </w:p>
    <w:p>
      <w:r>
        <w:t>Submissionsverfahren. - Unzulässigkeit der Verwaltungsgerichtsbeschwerde, wenn die Schwellenwerte des Einladungsverfahrens nicht erreicht sind.</w:t>
      </w:r>
    </w:p>
    <w:p>
      <w:pPr>
        <w:pStyle w:val="Heading2"/>
      </w:pPr>
      <w:r>
        <w:t>Volltext</w:t>
      </w:r>
    </w:p>
    <w:p>
      <w:r>
        <w:t>236 Verwaltungsgericht 2007 Sätzen konkret darlegen sollen, welche formellen Mängel ihre Be- schwerdeschrift aufweist und wie diese Unzulänglichkeiten innert der ihr angesetzten Frist behoben werden können. Aus dem Schrei- ben vom 29. März 2007 geht denn auch hervor, dass die Beschwer- deführerin das Wort "substantiieren" nicht verstanden hat und es ihr nicht klar war, inwiefern sie ihre Eingabe vom 8. März 2007 zu ver- bessern hatte. Zudem hat das Bezirksamt Baden der Beschwerdefüh- rerin auch nicht angedroht, auf die Beschwerde nicht einzutreten, falls sie keine Verbesserung ihrer Eingabe vom 8. März 2007 vor- nehme. 59 Parteientschädigung in Sozialhilfeverfahren. - Die Parteientschädigung ist i.d.R. nach § 3 Abs. 1 lit. a AnwT festzusetzen (Erw. 5.2). - Grundsätze zur Streitwertberechnung (Erw. 6.2). vgl. AGVE 2007 44 191 60 Submissionsverfahren. - Unzulässigkeit der Verwaltungsgerichtsbeschwerde, wenn die Schwellenwerte des Einladungsverfahrens nicht erreicht sind. vgl. AGVE 2007 37 153</w:t>
      </w:r>
    </w:p>
    <w:p>
      <w:r>
        <w:t>Steuerrekursgericht</w:t>
      </w:r>
    </w:p>
    <w:p>
      <w:r>
        <w:t>2007 Kantonale Steuern 239 I. Kantonale Steuern A. Steuergesetz (StG) vom 15. Dezember 1998 61 Gewinnungskosten des selbstständig Erwerbtätigen (§ 36 Abs. 1 StG). - Der steuerlich zu anerkennende Einschlag beim Verkauf von WIR- Guthaben ist aufgrund des konkreten Einzelfalles zu ermitteln. Vor- liegend ist der beim Verkauf gewährte Einschlag von 40 % ange- sichts des hohen verkauften Betrages und der konsequenten Be- handlung des WIR-Geldes in der Buchhaltung angemessen. 23. August 2007 in Sachen E. + P.O., 3-RV.2006.148 Aus den Erwägungen 2. 2.1. Der Rekurrent ist Inhaber der Einzelfirma O. Er handelt vorab mit Audio-Anlagen für den Einbau in Fahrzeuge. Dabei nimmt er für einen Teil des Verkaufspreises WIR-Checks in Zahlung. Sein WIR-Guthaben verkauft er regelmässig mit einem Einschlag von rund 40 % an seinen ebenfalls selbstständig erwerbstätigen Bruder. So hat er im Jahr 2001 WIR-Geld von total CHF 354'000.00 für CHF 214'800.00 veräussert. Die Differenz von CHF 139'200.00 wurde als Erlösminderung verbucht. 2.2. Die Steuerkommission L. anerkannte einen Einschlag von lediglich 25 % und rechnete entsprechend CHF 50'700.00 zum Ein- kommen aus selbstständiger Erwerbstätigkeit auf. Sie führt dazu aus, steuerlich seien 30 % abziehbar. Es sei nicht ersichtlich, was die In- kaufnahme des höheren Verlustes mit der Erreichung des Gesell- schaftszweckes zu tun habe. Es sei nicht davon auszugehen, dass der Rekurrent bei einem unabhängigen Dritten einen Einschlag von 40 % akzeptiert hätte. Da zudem alle Geschäfte mit dem Bruder abge- wickelt worden seien, könne das Delkredererisiko vernachlässigt,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