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AGVE_2006_54 vom 31. Dezember 2006</w:t>
      </w:r>
    </w:p>
    <w:p>
      <w:r>
        <w:t>AG Verwaltungsgericht, 2006-12-31, DE</w:t>
      </w:r>
    </w:p>
    <w:p>
      <w:r>
        <w:rPr>
          <w:b/>
        </w:rPr>
        <w:t xml:space="preserve">Quelle: </w:t>
      </w:r>
      <w:r>
        <w:t>https://mcp.opencaselaw.ch/entscheid/ag_verwaltungsgericht_AGVE_2006_54</w:t>
      </w:r>
    </w:p>
    <w:p>
      <w:r>
        <w:t>FR: AG_VERWALTUNGSGERICHT AGVE_2006_54 du 31 décembre 2006</w:t>
      </w:r>
    </w:p>
    <w:p>
      <w:r>
        <w:t>IT: AG_VERWALTUNGSGERICHT AGVE_2006_54 del 31 dicembre 2006</w:t>
      </w:r>
    </w:p>
    <w:p>
      <w:pPr>
        <w:pStyle w:val="Heading2"/>
      </w:pPr>
      <w:r>
        <w:t>Regeste</w:t>
      </w:r>
    </w:p>
    <w:p>
      <w:r>
        <w:t>Planungszone. - Kognition des Verwaltungsgerichts bei der Überprüfung von Planungszonen, welche der Regierungsrat gemäss § 29 Abs. 1 BauG erlassen hat (Erw. I/2). - Kein Recht auf Replik (Erw. I/4).</w:t>
      </w:r>
    </w:p>
    <w:p>
      <w:pPr>
        <w:pStyle w:val="Heading2"/>
      </w:pPr>
      <w:r>
        <w:t>Volltext</w:t>
      </w:r>
    </w:p>
    <w:p>
      <w:r>
        <w:t>2006 Verwaltungsrechtspflege 277 XII. Verwaltungsrechtspflege</w:t>
      </w:r>
    </w:p>
    <w:p>
      <w:r>
        <w:t>52 Formelle Anforderungen an eine Wiedererwägung. - Streitgegenstand; Form der Wiedererwägung (Erw. I/2-3). - Formelle Anforderungen an Verfügungen und Entscheide (Erw. II/3). vgl. AGVE 2006 43 225 53 Legitimation Dritter. - Legitimation im Falle einer Drittbeschwerde zugunsten des Verfü- gungsadressaten (Erw. I/3). - Ausstand eines Gemeinderats, der von Amtes wegen Präsident der Forstbetriebskommission Y. ist und dessen Forstbetrieb Y. für den Flurstrassenunterhalt seiner Einwohnergemeinde ein Angebot einge- reicht hat (Erw. II/4.1). vgl. AGVE 2006 39 204 54 Planungszone. - Kognition des Verwaltungsgerichts bei der Überprüfung von Pla- nungszonen, welche der Regierungsrat gemäss § 29 Abs. 1 BauG er- lassen hat (Erw. I/2). - Kein Recht auf Replik (Erw. I/4). vgl. AGVE 2006 30 131 55 Geltendmachung des sog. "Sockelbetrages" vom Kanton Aargau. - Zuständigkeit (Erw. I/1). - Anwendbare Verfahrensvorschriften (Erw. I/2). vgl. AGVE 2006 51 261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