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AGVE_2006_21 vom 20. November 2006</w:t>
      </w:r>
    </w:p>
    <w:p>
      <w:r>
        <w:t>AG Verwaltungsgericht, 2006-11-20, DE</w:t>
      </w:r>
    </w:p>
    <w:p>
      <w:r>
        <w:rPr>
          <w:b/>
        </w:rPr>
        <w:t xml:space="preserve">Quelle: </w:t>
      </w:r>
      <w:r>
        <w:t>https://mcp.opencaselaw.ch/entscheid/ag_verwaltungsgericht_AGVE_2006_21</w:t>
      </w:r>
    </w:p>
    <w:p>
      <w:r>
        <w:t>FR: AG_VERWALTUNGSGERICHT AGVE_2006_21 du 20 novembre 2006</w:t>
      </w:r>
    </w:p>
    <w:p>
      <w:r>
        <w:t>IT: AG_VERWALTUNGSGERICHT AGVE_2006_21 del 20 novembre 2006</w:t>
      </w:r>
    </w:p>
    <w:p>
      <w:pPr>
        <w:pStyle w:val="Heading2"/>
      </w:pPr>
      <w:r>
        <w:t>Regeste</w:t>
      </w:r>
    </w:p>
    <w:p>
      <w:r>
        <w:t>Strassenbaubeiträge (§ 34 f. BauG). - Grundsätze der Perimeterfestlegung beim Anstoss einer Parzelle an zwei Strassen.</w:t>
      </w:r>
    </w:p>
    <w:p>
      <w:pPr>
        <w:pStyle w:val="Heading2"/>
      </w:pPr>
      <w:r>
        <w:t>Volltext</w:t>
      </w:r>
    </w:p>
    <w:p>
      <w:r>
        <w:t>2006 Abgaben 95 III. Abgaben</w:t>
      </w:r>
    </w:p>
    <w:p>
      <w:r>
        <w:t>21 Strassenbaubeiträge (§ 34 f. BauG). - Grundsätze der Perimeterfestlegung beim Anstoss einer Parzelle an zwei Strassen. Entscheid des Verwaltungsgerichts, 2. Kammer, vom 20. November 2006 in Sachen S.S. gegen Schätzungskommission nach Baugesetz. Aus den Erwägungen 2.4. Die Beitragserhebung bei Grundstücken, die an zwei (oder mehrere) Strassen anstossen, kann zwei unterschiedlichen Ansätzen folgen. Zum einen kann in strikter Anwendung des Vorteilsprinzips darauf abgestellt werden, ob die zuerst gebaute Strasse das Grund- stück vollständig erschliesst. Wenn dies zutrifft, also namentlich bei kleinen und normal grossen Parzellen, wo sich die Möglichkeiten auf eine Baute oder eine zusammenhängende kleinere Überbauung be- schränken, wird die gesamte Parzellenfläche in den Beitragsperime- ter dieser ersten Stasse einbezogen; an den Bau der zweiten Strasse ist mangels eines zusätzlichen Vorteils kein Beitrag zu leisten. Wer- den - als Normalfall - die beiden Strassen nicht gleichzeitig erstellt, so fällt der Perimeter für die erste Strasse tendenziell zu gross aus; die Beitragspflichtigen bei der ersten Strasse werden bevorteilt, die- jenigen bei der zweiten zahlen entsprechend höhere Beiträge (dies gilt für alle Beitragspflichtigen, nicht nur für diejenigen mit doppel- tem Strassenanstoss). Nach dem anderen Lösungsansatz geht es darum, diese unsachgemässe Auswirkung des zeitlichen Elements (welche der beiden planerisch vorgesehenen Strassen zuerst gebaut wird) zu verhindern und eine angemessene Perimeterabgrenzung si- cherzustellen. Dazu werden die Parzellen mit doppeltem Strassenan- stoss je zu einem Teil den beiden Perimetern zugewiesen; in denjeni-</w:t>
      </w:r>
    </w:p>
    <w:p>
      <w:r>
        <w:t>96 Verwaltungsgericht 2006 gen Fällen, wo die zuerst erstellte Strasse zur vollständigen Erschliessung ausreicht, kommen sie damit beim ersten Perimeter zu gut weg und können aus diesem Grund dem Einbezug in den Peri- meter der zweiten Strasse nicht entgegenhalten, diese bringe ihnen keinen zusätzlichen Erschliessungsvorteil; sie erleiden keine sach- widrige Doppelbelastung. 2.5. Das Verwaltungsgericht hat in seiner Rechtsprechung Be- stimmungen, die diesem zweiten Ansatz folgen, regelmässig ge- schützt (siehe AGVE 1990, S. 178 f.; 1981, S. 158). Bei einer Par- zelle, die im Bereich von zwei Beitragsplänen liegt, kommt es also nicht darauf an, welcher Beitragsplan die Parzelle als erster erfasst. Richtig ist vielmehr der Einbezug in beide (bzw. gegebenenfalls in mehrere) Beitragspläne. Bei kleinen und normal grossen Parzellen kommt es in aller Regel zur hälftigen Aufteilung. Dabei handelt es sich um eine rein rechnerische Zuordnung der Parzellenhälften. Die erforderliche zeichnerische Umsetzung für die Darstellung der Beitragsperimeter (mittels der Winkelhalbierenden bei Eckgrundstücken und der Mit- tellinie bei parallel verlaufenden Strassenzügen) hat keine zusätzliche Funktion und erfolgt insbesondere ohne Zusammenhang mit der konkreten Erschliessung und den Überbauungsmöglichkeiten. Für ein Abweichen vom Grundsatz der hälftigen Zuordnung bietet sie daher keine Begründung. Vielmehr setzt das Abweichen bei Parzel- len in dieser Grösse voraus, dass die schematische Lösung den durch die beiden Strassen geschaffenen Vorteilen klarerweise nicht gerecht wird, mithin gewichtige Gründe vorliegen. Sehr grosse Parzellen werden von einer einzigen Strasse häufig nur unvollständig erschlossen. Hier besteht meist Bedarf nach zu- sätzlicher interner Erschliessung; diese Aufwendungen können sich durch eine zweite öffentliche Strasse verringern. Bei solchen Ver- hältnissen kann es sachgerecht sein, für die Aufteilung stärker auf die konkreten, realistischen Überbauungsmöglichkeiten abzustellen und gegebenenfalls von der hälftigen Teilung abzuweichen (AGVE 1990, S. 178 ff.). Auch hier geht es aber um eine adäquate rechnerische Zuordnung von Parzellenteilen zu den in Frage stehenden Beitrags- plänen, mit der nicht gleichzeitig darüber entschieden wird, dass</w:t>
      </w:r>
    </w:p>
    <w:p>
      <w:r>
        <w:t>2006 Abgaben 97 diese Teile auch über die betreffende Strasse erschlossen werden müssen. Dies gilt umso mehr, als häufig ganz unterschiedliche Er- schliessungskonzepte möglich sein werden. 3.3. Die Parzellengrösse von 2'550 m2 bildet für sich alleine be- trachtet keinen Grund, um von der hälftigen Aufteilung abzuweichen. Dies zeigt sich etwa im Vergleich zum Sachverhalt in AGVE 1990, S. 176 ff., wo es um die Erschliessung eines Gebiets von mehreren als Einheit betrachteten Grundstücken von insgesamt rund 79'000 m2 ging. Für die Berücksichtigung der konkreten Verhältnisse spricht, dass das volumengeschützte Gebäude im unteren Teil der Parzelle die verbleibenden Überbauungsmöglichkeiten wesentlich prägt. Da mit dem Volumenschutz kein Abbruchverbot verbunden ist, verliert dieser Umstand indessen an Gewicht. Ähnlich verhält es sich mit der Steilheit der Parzelle, welche rein vom Gelände her gewisse Einschränkungen in der Überbaubarkeit mit sich bringt. Mit der vorgeschriebenen terrassierten Überbauung wird dieser Geländeform jedoch durch die in praktischer Hinsicht allein mögliche Bebauung Rechnung getragen. … Hinzu kommt, dass das vom Gemeinderat zur Anwendung gebrachte Abgrenzungskriterium der "logischen Fortsetzung des Grenzverlaufs" der östlichen Nachbarparzellen 1948 und 2172 weder in Rechtsprechung und Literatur eine Stütze findet, noch - soweit ersichtlich - in der Praxis je zur Anwendung gebracht wurde. Dies gilt umso mehr, als die beiden erwähnten Parzellen nicht an zwei Strassen angrenzen, weshalb die vorgebrachten Gründe der Rechtsgleichheit nicht durchschlagen. Der Vorstellung, dass eine Parzellenaufteilung gerade in der Fortsetzung der nachbarlichen Grundstücksgrenzen angemessen sein soll, haftet etwas Künstliches an; es fehlt an einer genügenden Begründung, dieses vorwiegend raumplanerisch motivierte Kriterium auch zur Erfassung des wirtschaftlichen Sondervorteils zur Anwendung zu bringen… 3.4. Zusammenfassend bestehen keine genügend gewichtigen Gründe, um vom Grundsatz der hälftigen Aufteilung abzuweichen.</w:t>
      </w:r>
    </w:p>
    <w:p>
      <w:r>
        <w:t>2006 Kantonale Steuern 99 IV. Kantonale Steuern</w:t>
      </w:r>
    </w:p>
    <w:p>
      <w:r>
        <w:t>22 Feststellungsverfügung. Intertemporales Recht. Auswirkung früherer Ersatzbeschaffungen auf die nach neuem Recht erfolgende Besteuerung von Gewinnen aus der Veräusserung von landwirtschaftlichen Grundstücken des Geschäftsvermögens (§ 27 Abs. 4; § 106 Abs. 1 StG). - Ausreichendes Interesse, um beim Übergang zum neuen Recht die Buchwerte und kumulierten Abschreibungen der landwirtschaftli- chen Grundstücke mittels Feststellungsverfügung verbindlich fest- zulegen (Erw. 1). - Kapitalgewinne, die noch unter altem Recht veranlagt wurden, deren Besteuerung aber zufolge Ersatzbeschaffung (mit Sofortabschrei- bung auf dem Ersatzgut) hinausgeschoben wurde, unterliegen bei der Veräusserung des ersatzbeschafften Grundstücks als wieder ein- gebrachte Abschreibungen der Einkommenssteuer (Erw. 2-4). - Die Rückwirkung des neuen Rechts (auch die zulässige "unechte") muss sich klar aus dem Gesetz ergeben (Erw. 4.4). Entscheid des Verwaltungsgerichts, 2. Kammer, vom 19. Dezember 2006 in Sachen A.H. gegen Steuerrekursgericht. Aus den Erwägungen 1. Zu Recht bestreiten die Beschwerdeführer nicht mehr, dass eine Feststellungsverfügung hinsichtlich der Anlagekosten, Ab- schreibungen und Buchwerte per 1. Januar 2002 zulässig war. Wie im angefochtenen Entscheid zutreffend ausgeführt, liegt zwar kein Anwendungsfall von § 266 Abs. 2 StG (eine Regelung im Zusam- menhang mit dem Übergang von der Wertzerlegungs- zur Präpon- deranzmethode) vor, da alle Grundstücke der Beschwerdeführer gleich wie zuvor vollumfänglich Geschäftsvermögen darstellen. In- dessen reicht es aus (vgl., ausserhalb des Steuerrechts, AGVE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