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AGVE_2004_29 vom 25. Juni 2004</w:t>
      </w:r>
    </w:p>
    <w:p>
      <w:r>
        <w:t>AG Verwaltungsgericht, 2004-06-25, DE</w:t>
      </w:r>
    </w:p>
    <w:p>
      <w:r>
        <w:rPr>
          <w:b/>
        </w:rPr>
        <w:t xml:space="preserve">Quelle: </w:t>
      </w:r>
      <w:r>
        <w:t>https://mcp.opencaselaw.ch/entscheid/ag_verwaltungsgericht_AGVE_2004_29</w:t>
      </w:r>
    </w:p>
    <w:p>
      <w:r>
        <w:t>FR: AG_VERWALTUNGSGERICHT AGVE_2004_29 du 25 juin 2004</w:t>
      </w:r>
    </w:p>
    <w:p>
      <w:r>
        <w:t>IT: AG_VERWALTUNGSGERICHT AGVE_2004_29 del 25 giugno 2004</w:t>
      </w:r>
    </w:p>
    <w:p>
      <w:pPr>
        <w:pStyle w:val="Heading2"/>
      </w:pPr>
      <w:r>
        <w:t>Regeste</w:t>
      </w:r>
    </w:p>
    <w:p>
      <w:r>
        <w:t>Abzug von Schuldzinsen (§ 40 lit. a StG). - Die Abzugsfähigkeit des Schuldzinsenanteils beim Leasingvertrag hängt von der konkreten Ausgestaltung ab. Ob zivilrechtlich ein Abzahlungs- bzw. Konsumkreditvertrag vorliegt, ist steuerlich irrelevant.</w:t>
      </w:r>
    </w:p>
    <w:p>
      <w:pPr>
        <w:pStyle w:val="Heading2"/>
      </w:pPr>
      <w:r>
        <w:t>Erwägungen</w:t>
      </w:r>
    </w:p>
    <w:p>
      <w:r>
        <w:rPr>
          <w:b/>
        </w:rPr>
        <w:t>E. 3</w:t>
      </w:r>
    </w:p>
    <w:p>
      <w:r>
        <w:t>a) Die Grundstruktur des typischen Leasingvertrags lässt sich wie folgt umschreiben: Der Leasinggeber überlässt dem Leasing- nehmer auf eine fest bestimmte Zeit ein wirtschaftliches Gut (Leasingobjekt) zur freien Verwendung und Nutzung (aber nicht zum unbeschwerten Haben), wobei das volle Erhaltungsrisiko in der Regel vertraglich auf den Leasingnehmer übertragen wird. Hierfür leistet der Leasingnehmer ein Entgelt, das in Teilleistungen zu ent- richten ist (Leasingraten oder -zins). Die kapitalisierten Raten ent- sprechen dabei einem Betrag, der dem auf Vertragsende verzinsten Verkehrswert (Herstellungs- oder Anschaffungskosten) voll oder teilweise entspricht. Ob ein Drei-Parteien-Verhältnis, bei welchem ein unabhängiger Dritter (oft eine Leasing-Gesellschaft) einbezogen wird, der das vom (späteren) Leasingnehmer zunächst beim Händler ausgesuchte Leasingobjekt im Hinblick auf das Leasingverhältnis durch Kauf erwirbt, begriffsnotwendig ist, wird in der Lehre nicht einheitlich beantwortet. Beim "Leasing" sind zahlreiche Unterarten</w:t>
      </w:r>
    </w:p>
    <w:p>
      <w:r>
        <w:t>2004 Kantonale Steuern 123 und Variationen denkbar, indessen ist nicht alles, was von den Ver- tragsparteien als Leasingvertrag bezeichnet wird, auch als solcher zu qualifizieren (BGE 119 II 238 = Pra 84/1995, S. 327 f.; Walter R. Schluep/Marc Amstutz, in: Basler Kommentar, OR I, 3. Auflage, Basel 2003, Einleitung vor Art. 184 ff. N 81 ff. mit Hinweisen). b) Die steuerliche Abzugsfähigkeit des in den Leasingraten ent- haltenen Zinsanteils hängt von den vertraglichen Vereinbarungen ab; entscheidend ist, ob das Vertragsobjekt nach dem Willen der Ver- tragsparteien zu Eigentum oder nur zum Gebrauch überlassen wurde. Je nachdem ist der Leasingvertrag als mietähnliches Geschäft, dessen Zweck in der Nutzung statt im Kauf liegt (echtes Mobilienfinanzie- rungsleasing), oder als Veräusserungsgeschäft in Form eines Miet- kaufs- oder eines Abzahlungsvertrags (unechtes Mobilienfinanzie- rungsleasing) zu qualifizieren. Liegt ein mietähnlicher Vertrag vor, vereinbaren die Vertragsparteien also nicht mehr als eine Ge- brauchsüberlassung, stellen die Leasingraten einzig eine Gegen- leistung für die Nutzung des Leasinggutes und somit nicht abzugsfä- hige Lebenshaltungskosten dar. Ist hinter dem Leasingvertrag hinge- gen ein Veräusserungsgeschäft verborgen, welches letztendlich die Übertragung von Besitz und Eigentum bezweckt, besteht eine Kapi- talschuld und die eigentlichen Schuldzinsen (als Teil der Leasingra- ten) sind abzugsfähig (vgl. zum Ganzen: StE 1992, B.27.2 Nr. 12 = ASA 61/1992-93, S. 250 ff.; StE 1993, B.27.2, Nr. 14; Aeschbach, a.a.O., § 40 N 34 ff.). c) Ob nach zivilrechtlichen Grundsätzen auf einen von den Parteien als Leasingvertrag bezeichneten Vertrag die Vorschriften über den Abzahlungsvertrag (Art. 226a ff. OR) zur Anwendung gelangen, ist für die steuerrechtliche Qualifikation, ob eine Kapital- schuld vorliegt, nicht entscheidend. Diese zum Schutze der Konsu- menten aufgestellten Vorschriften, welche unabhängig vom Veräus- serungswillen immer dann zur Anwendung gelangen, wenn der Ver- trag in wirtschaftlicher Hinsicht die gleichen Zwecke wie ein Ab- zahlungskauf verfolgt (vgl. BGE 118 II 155; 113 II 171), sagen nichts darüber aus, ob von den Vertragsparteien eine Veräusserung und Eigentumsübertragung des "Leasingobjekts" gewollt war. Das Gleiche gilt - in ihrem Anwendungsbereich - für die Schutzbestim-</w:t>
      </w:r>
    </w:p>
    <w:p>
      <w:r>
        <w:t>124 Verwaltungsgericht 2004 mungen des (früheren) Bundesgesetzes über den Konsumkredit vom</w:t>
      </w:r>
    </w:p>
    <w:p>
      <w:r>
        <w:rPr>
          <w:b/>
        </w:rPr>
        <w:t>E. 8</w:t>
      </w:r>
    </w:p>
    <w:p>
      <w:r>
        <w:t>Oktober 1993 bzw. des dieses und die Art. 226a ff. OR per 1. Januar 2003 ablösenden KKG vom 10. Dezember 2001. 30 Allgemeine Abzüge. Gewinnungskosten bei Selbstständigerwerbenden. - Die Prämien für die (freiwillige) Unfallversicherung von Selbststän- digerwerbenden sind jedenfalls dann abziehbar, wenn besondere Unfallrisiken der Berufsausübung abzudecken sind. Entscheid des Verwaltungsgerichts, 2. Kammer, vom 16. Dezember 2004 in Sachen R.G. gegen Steuerrekursgericht. Aus den Erwägungen 2. a) Prämien und Beiträge für die obligatorische Unfallversi- cherung sind uneingeschränkt abziehbar (§ 40 lit. f StG). Prämien für nicht obligatorische Unfallversicherungen werden demgegenüber durch die Pauschale von Fr. 4'000.-- (Verheiratete) in § 40 lit. g StG erfasst und können deshalb nicht separat abgezogen werden. Dem Obligatorium der Unfallversicherung unterstehen nur die unselbst- ständig Erwerbenden; Selbstständigerwerbende können sich aber freiwillig versichern lassen (Art. 1a, Art. 4 Abs. 1 UVG). Von daher erscheinen die Unfallversicherungsprämien von Selbstständigerwer- benden zunächst nicht abzugsfähig (vgl. dazu Markus Reich, in: Kommentar zum schweizerischen Steuerrecht, Band I/1 [StHG], 2. Auflage, Basel/Genf/München 2002, Art. 10 N 9; Daniel Aeschbach, in: Kommentar zum Aargauer Steuergesetz, Band 1, 2. Auflage, Muri/Bern 2004, § 40 N 125). Trotzdem wird in der Lehre die Abzugsfähigkeit teilweise - aus Überlegungen der rechts- gleichen Behandlung - vollumfänglich bejaht (Aeschbach, a.a.O., § 40 N 125 [der zitierte RGE äussert sich aber nicht zur Unfallversicherung und belegt ausschliesslich die Nichtabzugsfähig- keit von Prämien für die Krankentaggeldversicherung]; Peter Locher, Kommentar zum DBG, I. Teil, Therwil/Basel 2001, Art. 27 N 45). Teilweise werden bestimmte Ausnahmen anerkannt, namentlich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