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AGVE_2003_81 vom 31. Dezember 2003</w:t>
      </w:r>
    </w:p>
    <w:p>
      <w:r>
        <w:t>AG Verwaltungsgericht, 2003-12-31, DE</w:t>
      </w:r>
    </w:p>
    <w:p>
      <w:r>
        <w:rPr>
          <w:b/>
        </w:rPr>
        <w:t xml:space="preserve">Quelle: </w:t>
      </w:r>
      <w:r>
        <w:t>https://mcp.opencaselaw.ch/entscheid/ag_verwaltungsgericht_AGVE_2003_81</w:t>
      </w:r>
    </w:p>
    <w:p>
      <w:r>
        <w:t>FR: AG_VERWALTUNGSGERICHT AGVE_2003_81 du 31 décembre 2003</w:t>
      </w:r>
    </w:p>
    <w:p>
      <w:r>
        <w:t>IT: AG_VERWALTUNGSGERICHT AGVE_2003_81 del 31 dicembre 2003</w:t>
      </w:r>
    </w:p>
    <w:p>
      <w:pPr>
        <w:pStyle w:val="Heading2"/>
      </w:pPr>
      <w:r>
        <w:t>Regeste</w:t>
      </w:r>
    </w:p>
    <w:p>
      <w:r>
        <w:t>Verständigung (Vergleich) im Steuerverfahren.</w:t>
      </w:r>
    </w:p>
    <w:p>
      <w:pPr>
        <w:pStyle w:val="Heading2"/>
      </w:pPr>
      <w:r>
        <w:t>Volltext</w:t>
      </w:r>
    </w:p>
    <w:p>
      <w:r>
        <w:t>316 Verwaltungsgericht 2003 bb) Die Partei kann den ihr zugewiesenen Rechtsvertreter aus zureichenden Gründen ablehnen und die Bezeichnung eines anderen Anwaltes beantragen (§ 130 Abs. 2 ZPO). Ein nachträglicher Ver- treterwechsel ist insbesondere dann, wenn die ursprüngliche Zuwei- sung antragsgemäss erfolgte, nur zurückhaltend zu gewähren und setzt gewichtige Gründe voraus (vgl. Alfred Bühler, in: Kommentar zur aargauischen Zivilprozessordnung, 2. Auflage, Aarau/Frankfurt a.M./Salzburg, 1998, § 130 N 4). Dies gilt auch im Fall, dass das Gesuch um Bestellung eines anderen als des ursprünglich beantrag- ten Vertreters gestellt wird, bevor der unentgeltliche Rechtsvertreter bezeichnet wurde, hinsichtlich der bereits erfolgten Prozesshandlun- gen aber aus den zuvor genannten Gründen zwingend der zuerst beantragte Anwalt zu bezeichnen ist. ... Indem der Beschwerdeführer im Büro von Rechtsanwalt G. die Akten behändigte und nicht zurückgab, hinderte er selber seinen Vertreter daran, die angekündigte Eingabe zu verfassen und rechtzei- tig einzureichen. Es geht nicht an, auf diese Weise den selbst ge- wählten Vertreter, der antragsgemäss zum unentgeltlichen Rechts- vertreter bestellt werden sollte, an der Arbeit zu hindern und daraus dann einen Anspruch auf Anwaltswechsel abzuleiten. Das Gesuch um Bewilligung des Wechsels des unentgeltlichen Rechtsvertreters ist deshalb abzuweisen. 81 Verständigung (Vergleich) im Steuerverfahren.</w:t>
      </w:r>
    </w:p>
    <w:p>
      <w:r>
        <w:t>vgl. AGVE 2003 40 131 82 Zuständigkeit (öffentlicher Fussweg). - Feststellungen, die sich auf einen im Grundbuch angemerkten öffent- lichen Fussweg beziehen, haben auf dem Verwaltungsweg zu erfolgen (Erw. 1/b). - Sachzuständigkeit des Verwaltungsgerichts gestützt auf § 52 Ziff. 20 VRPG i.V.m. Art. 6 Ziff. 1 EMRK (Erw. 1/c). Entscheid des Verwaltungsgerichts, 3. Kammer, vom 21. Oktober 2003 in Sachen G. und Mitb. gegen Baudepartement.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