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AGVE_2003_76 vom 19. November 2003</w:t>
      </w:r>
    </w:p>
    <w:p>
      <w:r>
        <w:t>AG Verwaltungsgericht, 2003-11-19, DE</w:t>
      </w:r>
    </w:p>
    <w:p>
      <w:r>
        <w:rPr>
          <w:b/>
        </w:rPr>
        <w:t xml:space="preserve">Quelle: </w:t>
      </w:r>
      <w:r>
        <w:t>https://mcp.opencaselaw.ch/entscheid/ag_verwaltungsgericht_AGVE_2003_76</w:t>
      </w:r>
    </w:p>
    <w:p>
      <w:r>
        <w:t>FR: AG_VERWALTUNGSGERICHT AGVE_2003_76 du 19 novembre 2003</w:t>
      </w:r>
    </w:p>
    <w:p>
      <w:r>
        <w:t>IT: AG_VERWALTUNGSGERICHT AGVE_2003_76 del 19 novembre 2003</w:t>
      </w:r>
    </w:p>
    <w:p>
      <w:pPr>
        <w:pStyle w:val="Heading2"/>
      </w:pPr>
      <w:r>
        <w:t>Regeste</w:t>
      </w:r>
    </w:p>
    <w:p>
      <w:r>
        <w:t>Beschwerde, aufschiebende Wirkung. - Der vorsorgliche Entzug der aufschiebenden Wirkung durch die verfügende Behörde (§ 44 Abs. 1 VRPG) muss begründet werden.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a) Das Baudepartement stellt auf S. 2 seines Entscheids fest, die heutige Beschwerdeführerin habe sich im vorinstanzlichen Ver- fahren weder zur Verwaltungsbeschwerde vernehmen lassen noch habe sie sich als Partei erklärt; anlässlich der Augenscheinsver- handlung vom 4. November 1999 seien ihre Vertreter nochmals über die Bedeutung einer mangelnden Parteistellung in Kenntnis gesetzt und in der Folge als Auskunftspersonen behandelt worden. Die Be- schwerdeführerin bestreitet diese Darstellung und begründet aus- führlich, warum sie am vorinstanzlichen Verfahren als Partei beteiligt war und demzufolge zur Erhebung einer Verwaltungsgerichtsbe- schwerde legitimiert ist. Das Baudepartement hält an seiner Version fest und ersucht das Verwaltungsgericht, die Frage der Parteistellung der Beschwerdeführerin zu entscheiden. b) aa) Die Beschwerdelegitimation (§ 38 Abs. 1 VRPG) setzt neben der materiellen Beschwer (diese ist hier offenkundig gegeben) auch eine solche im formellen, prozessualen Sinne voraus. Diese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