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AGVE_2003_65 vom 10. September 2003</w:t>
      </w:r>
    </w:p>
    <w:p>
      <w:r>
        <w:t>AG Verwaltungsgericht, 2003-09-10, DE</w:t>
      </w:r>
    </w:p>
    <w:p>
      <w:r>
        <w:rPr>
          <w:b/>
        </w:rPr>
        <w:t xml:space="preserve">Quelle: </w:t>
      </w:r>
      <w:r>
        <w:t>https://mcp.opencaselaw.ch/entscheid/ag_verwaltungsgericht_AGVE_2003_65</w:t>
      </w:r>
    </w:p>
    <w:p>
      <w:r>
        <w:t>FR: AG_VERWALTUNGSGERICHT AGVE_2003_65 du 10 septembre 2003</w:t>
      </w:r>
    </w:p>
    <w:p>
      <w:r>
        <w:t>IT: AG_VERWALTUNGSGERICHT AGVE_2003_65 del 10 settembre 2003</w:t>
      </w:r>
    </w:p>
    <w:p>
      <w:pPr>
        <w:pStyle w:val="Heading2"/>
      </w:pPr>
      <w:r>
        <w:t>Regeste</w:t>
      </w:r>
    </w:p>
    <w:p>
      <w:r>
        <w:t>Auflage, eine preisgünstigere Wohnung zu beziehen. - Was ist bei Krankheit/Behinderung eine zumutbare Wohnung?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M.L. ist durch die Angehörigen beim Altersheim B. für einen Eintritt anzumelden. Die durchschnittliche Wartezeit beträgt ca. 3 Monate. Die Berechnung des Fehlbetrages wird nach dem Übertritt bzw. auf den 1. April 2003 neu berechnet und angepasst.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