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AGVE_2003_40 vom 31. Dezember 1990</w:t>
      </w:r>
    </w:p>
    <w:p>
      <w:r>
        <w:t>AG Verwaltungsgericht, 1990-12-31, DE</w:t>
      </w:r>
    </w:p>
    <w:p>
      <w:r>
        <w:rPr>
          <w:b/>
        </w:rPr>
        <w:t xml:space="preserve">Quelle: </w:t>
      </w:r>
      <w:r>
        <w:t>https://mcp.opencaselaw.ch/entscheid/ag_verwaltungsgericht_AGVE_2003_40</w:t>
      </w:r>
    </w:p>
    <w:p>
      <w:r>
        <w:t>FR: AG_VERWALTUNGSGERICHT AGVE_2003_40 du 31 décembre 1990</w:t>
      </w:r>
    </w:p>
    <w:p>
      <w:r>
        <w:t>IT: AG_VERWALTUNGSGERICHT AGVE_2003_40 del 31 dicembre 1990</w:t>
      </w:r>
    </w:p>
    <w:p>
      <w:pPr>
        <w:pStyle w:val="Heading2"/>
      </w:pPr>
      <w:r>
        <w:t>Regeste</w:t>
      </w:r>
    </w:p>
    <w:p>
      <w:r>
        <w:t>Verständigung (Vergleich) im Steuerverfahren. - Bedingte Erklärung des Steuerpflichtigen betreffend Privatentnahme einer Landparzelle; Auslegung der nachfolgenden Korrespondenz mit der Steuerbehörde über den dabei anzurechnenden Verkehrswert.</w:t>
      </w:r>
    </w:p>
    <w:p>
      <w:pPr>
        <w:pStyle w:val="Heading2"/>
      </w:pPr>
      <w:r>
        <w:t>Erwägungen</w:t>
      </w:r>
    </w:p>
    <w:p>
      <w:r>
        <w:rPr>
          <w:b/>
        </w:rPr>
        <w:t>E. 7</w:t>
      </w:r>
    </w:p>
    <w:p>
      <w:r>
        <w:t>April 1999. Die Formulierung "Annahme des Überführungsprei- ses" erklärt sich daher, dass der Beschwerdeführer zuvor einen tiefe- ren Preis ausdrücklich als Bedingung für die Gültigkeit der Überfüh- rungserklärung genannt hatte. Eine exaktere, den wahren Sinn ge- nauer treffende Formulierung durch die Steuerkommission hätte lauten können: "Ohne ausdrückliche und vorbehaltlose Bestätigung der Überführungserklärung innert 30 Tagen geht die Steuerkommis- sion davon aus, dass per 31. Dezember 1998 keine Überführung ins Privatvermögen stattfindet." Unter diesen Umständen durfte das Schreiben des Vertreters des Beschwerdeführers vom 28. Mai 1999 durch die Steuerkommission B. als Erklärungsempfängerin (siehe vorne Erw. 2) nicht als Annahme des von ihr genannten Überfüh- rungspreises interpretiert werden, selbst wenn eine ausdrückliche Ablehnung fehlte. Die materielle Überprüfung des Verkehrswerts im Einspracheentscheid vom 19. März 2001 zeigt denn auch, dass sie es tatsächlich nicht in dieser Weise auffasste. Dass der Beschwerdefüh- rer gut daran getan hätte, klare Verhältnisse zu schaffen mit der aus- drücklichen Erwähnung, die Überführungserklärung bedeute keine Zustimmung zum genannten Wert von Fr. 218.--/m2, vermag daran letztlich nichts zu ändern. 5. War es demnach zu keiner Verständigung über den massgeb- lichen Verkehrswert der Parzelle gekommen, hätte die Vorinstanz die im Rekursverfahren streitige Höhe des Verkehrswerts materiell</w:t>
      </w:r>
    </w:p>
    <w:p>
      <w:r>
        <w:t>136 Verwaltungsgericht 2003 überprüfen müssen. Die Beschwerde ist deshalb gutzuheissen und die Sache an die Vorinstanz zurückzuweisen.</w:t>
      </w:r>
    </w:p>
    <w:p>
      <w:r>
        <w:t>2003 Fürsorgerische Freiheitsentziehung 137 V. Fürsorgerische Freiheitsentziehung</w:t>
      </w:r>
    </w:p>
    <w:p>
      <w:r>
        <w:t>41 Anstaltseinweisung; Abgrenzung Einweisung zur Behandlung/zur Unter- suchung/zur Behandlung und Untersuchung (Doppelcharakter). - Bei der Einweisung eines psychisch Kranken zur Behandlung ist der Behandlungsauftrag in der Regel nicht zu definieren, da die Art der Behandlung Sache der Klinik ist; Pflicht der Klinik, nebst der Be- handlung auch alle notwendigen Untersuchungen vorzunehmen (Erw. 1/a). - Voraussetzungen der Einweisung zur Untersuchung (Erw. 1/b). - Voraussetzungen der Einweisung zur Behandlung und Untersuchung (Doppelcharakter) (Erw. 1/c). - Stützt sich die Einweisungsverfügung hauptsächlich auf eine über ei- nen Monat zurück liegende ärztliche Beurteilung, so hat das Bezirks- amt eine aktuelle ärztliche Beurteilung einzuholen (Erw. 3a/bb). Entscheid des Verwaltungsgerichts, 1. Kammer, vom 13. Januar 2004 in Sa- chen D.B. gegen die Verfügung des Bezirksamts Z. Aus den Erwägungen 1. Gemäss § 67d EGZGB kann die Einweisungsbehörde vor dem Entscheid über eine Anstaltsunterbringung eine ärztliche Unter- suchung anordnen und die Person zur Durchführung der Untersu- chung vorübergehend in eine Anstalt einweisen. Die massgeblichen Einweisungsgründe und auch die Einweisungszwecke müssen in der Einweisungsverfügung aufgeführt sein. Insbesondere muss sich aus der Einweisungsverfügung klar ergeben, ob es sich um eine defini- tive Anstaltsunterbringung oder um eine bloss vorübergehende Ein- weisung zur Untersuchung gemäss § 67d Abs. 1 und 2 EGZGB han- delt (AGVE 1994, S. 350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