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AGVE_2002_101 vom 18. Juni 2002</w:t>
      </w:r>
    </w:p>
    <w:p>
      <w:r>
        <w:t>AG Verwaltungsgericht, 2002-06-18, DE</w:t>
      </w:r>
    </w:p>
    <w:p>
      <w:r>
        <w:rPr>
          <w:b/>
        </w:rPr>
        <w:t xml:space="preserve">Quelle: </w:t>
      </w:r>
      <w:r>
        <w:t>https://mcp.opencaselaw.ch/entscheid/ag_verwaltungsgericht_AGVE_2002_101</w:t>
      </w:r>
    </w:p>
    <w:p>
      <w:r>
        <w:t>FR: AG_VERWALTUNGSGERICHT AGVE_2002_101 du 18 juin 2002</w:t>
      </w:r>
    </w:p>
    <w:p>
      <w:r>
        <w:t>IT: AG_VERWALTUNGSGERICHT AGVE_2002_101 del 18 giugno 2002</w:t>
      </w:r>
    </w:p>
    <w:p>
      <w:pPr>
        <w:pStyle w:val="Heading2"/>
      </w:pPr>
      <w:r>
        <w:t>Regeste</w:t>
      </w:r>
    </w:p>
    <w:p>
      <w:r>
        <w:t>Kostenverlegung (§ 35 VRPG). - Der AEW Energie AG sind keine Verfahrenskosten aufzuerlegen, wenn die Beschwerde gegen die von ihr verfügten Stromgebühren erfolgreich ist.</w:t>
      </w:r>
    </w:p>
    <w:p>
      <w:pPr>
        <w:pStyle w:val="Heading2"/>
      </w:pPr>
      <w:r>
        <w:t>Erwägungen</w:t>
      </w:r>
    </w:p>
    <w:p>
      <w:r>
        <w:rPr>
          <w:b/>
        </w:rPr>
        <w:t>E. 2</w:t>
      </w:r>
    </w:p>
    <w:p>
      <w:r>
        <w:t>a) Der Verfahrensausgang kommt einem Obsiegen des Be- schwerdeführers gleich. Nach § 33 Abs. 2 VRPG sind daher die Kos- ten grundsätzlich der AEW Energie AG aufzuerlegen. Gilt sie aller- dings nach wie vor als Amtsstelle im Sinne von § 35 Abs. 1 VRPG, sind die Kosten auf die Staatskasse zu nehmen. Die AEW Energie AG ist seit dem 1. Oktober 1999 eine privat- rechtliche Aktiengesellschaft (§ 20a des Energiegesetzes [EnG; SAR 773.100] vom 9. März 1993; AEW-Firmenprofil unter www.aew.ch). Der Kanton hält jedoch die Aktienmehrheit und hat der AEW Energie AG einen Leistungsauftrag erteilt (§§ 20b Abs. 1, 20c Abs. 2 EnG; Dekret über den Leistungsauftrag der AEW Energie AG vom 7. September 1999, SAR 773.330). Sodann kann sie nach wie vor Verfügungen erlassen (Ziff. 3.3.2 des Reglementes über die Lieferung elektrischer Energie aus dem Niederspannungsnetz des Aargauischen Elektrizitätswerkes vom 23. März 1994, SAR 773.533). Damit übt sie nach wie vor hoheitliche Funktionen aus und ist als Amtsstelle im Sinne von § 35 Abs. 1 VRPG zu betrachten. Die Kosten sind daher auf die Staatskasse zu nehmen. 102 Eröffnung. Rechtsmittelfrist. - Lauf der Rechtsmittelfrist, wenn durch einen Eröffnungsfehler die Rechtsmittelbelehrung 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