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AGVE_2001_78 vom 21. November 2000</w:t>
      </w:r>
    </w:p>
    <w:p>
      <w:r>
        <w:t>AG Verwaltungsgericht, 2000-11-21, DE</w:t>
      </w:r>
    </w:p>
    <w:p>
      <w:r>
        <w:rPr>
          <w:b/>
        </w:rPr>
        <w:t xml:space="preserve">Quelle: </w:t>
      </w:r>
      <w:r>
        <w:t>https://mcp.opencaselaw.ch/entscheid/ag_verwaltungsgericht_AGVE_2001_78</w:t>
      </w:r>
    </w:p>
    <w:p>
      <w:r>
        <w:t>FR: AG_VERWALTUNGSGERICHT AGVE_2001_78 du 21 novembre 2000</w:t>
      </w:r>
    </w:p>
    <w:p>
      <w:r>
        <w:t>IT: AG_VERWALTUNGSGERICHT AGVE_2001_78 del 21 novembre 2000</w:t>
      </w:r>
    </w:p>
    <w:p>
      <w:pPr>
        <w:pStyle w:val="Heading2"/>
      </w:pPr>
      <w:r>
        <w:t>Regeste</w:t>
      </w:r>
    </w:p>
    <w:p>
      <w:r>
        <w:t>Rechtliches Gehör. - Eine Gemeinde kann sich auf diesen Anspruch berufen, wenn sie wie eine Privatperson betroffen ist oder wenn es um den Umfang der ihr zustehenden Autonomie geht (Erw. 4/b).</w:t>
      </w:r>
    </w:p>
    <w:p>
      <w:pPr>
        <w:pStyle w:val="Heading2"/>
      </w:pPr>
      <w:r>
        <w:t>Volltext</w:t>
      </w:r>
    </w:p>
    <w:p>
      <w:r>
        <w:t>2001 Verwaltungsrechtspflege 367 Obsiegenden eine angemessene Parteientschädigung zuzusprechen. Der Entscheid über die Parteientschädigung ist vom Ausgang des Hauptverfahrens abhängig und mit dem Endurteil zu fällen. Auch die Angemessenheit einer Parteientschädigung ist vor Abschluss des Urteils nicht beurteilbar. Die Kostennote des Parteivertreters der obsiegenden Partei kann von der Sache her erst nach Beendigung des Verfahrens geprüft werden. Der Entscheid über die Parteientschädi- gung im verwaltungsgerichtlichen Verfahren kann deshalb grund- sätzlich nicht Gegenstand eines Teilentscheides im Beschwerdever- fahren nach § 28 BauG sein. 78 Rechtliches Gehör. - Eine Gemeinde kann sich auf diesen Anspruch berufen, wenn sie wie eine Privatperson betroffen ist oder wenn es um den Umfang der ihr zustehenden Autonomie geht (Erw. 4/b). Entscheid des Verwaltungsgerichts, 3. Kammer, vom 21. November 2000 in Sachen Einwohnergemeinde B. gegen Regierungsrat. Aus den Erwägungen 4. a) Die Beschwerdeführerin bezichtigt den Regierungsrat einer Gehörsverletzung, weil im vorinstanzlichen Entscheid auf die Problematik der Einhaltung der Sonntagsruhe nicht eingegangen worden sei. Gerügt wird also eine Verletzung der Begründungs- pflicht, welche allgemein aus dem Anspruch auf rechtliches Gehör abgeleitet wird (Ulrich Häfelin/Georg Müller, Grundriss des Allge- meinen Verwaltungsrechts, 3. Auflage, Zürich 1998, Rz. 1293; BGE 112 Ia 109; AGVE 1998, S. 426). b) Art. 29 Abs. 2 BV billigt den Parteien einen Anspruch auf rechtliches Gehör zu. Auch § 22 Abs. 1 KV schreibt fest, dass die Betroffenen in behördlichen Verfahren Anspruch auf rechtliches Gehör und faire Behandlung haben. In beiden Verfassungen sind die angeführten Bestimmungen im Kapitel bzw. Abschnitt über die „Grundrechte“ eingeordnet. Diese bringen zum Ausdruck, dass jeder</w:t>
      </w:r>
    </w:p>
    <w:p>
      <w:r>
        <w:t>368 Verwaltungsgericht 2001 Mensch voraussetzungslos Inhaber bestimmter Rechte ist; er gilt als Rechtsperson und ist Träger einer besonderen Würde (Jörg Paul Müller, in: Kommentar zur Bundesverfassung der Schweizerischen Eidgenossenschaft vom 29. Mai 1874 [im Folgenden: Kommentar BV], Basel/Zürich/Bern 1996, Einleitung zu den Grundrechten, N 1). Die gemäss Art. 29 Abs. 2 BV bzw. § 22 Abs. 1 KV anspruchsbe- rechtigten „Parteien“ bzw. „Betroffenen“ sind also Private, die in Verfahren involviert sind, deren Ergebnisse sie mehr als Andere be- lasten können (Georg Müller, in: Kommentar BV, Art. 4 N 101; Jörg Paul Müller, Grundrechte in der Schweiz [im Folgenden: Grund- rechte], 3. Auflage, Bern 1999, S. 509). Auch gemäss aargauischem Verfassungsverständnis gelten die allgemeinen Verfahrensgarantien (nur) für „Betroffene“, d. h. für subjektiv-rechtlich Beschwerte (Kurt Eichenberger, Verfassung des Kantons Aargau, Textausgabe mit Kommentar, Aarau 1986, § 22 N 9, 11). Demzufolge kann sich eine Gemeinde auf die Garantien verfahrensrechtlicher Kommunikation berufen, wenn sie wie eine Privatperson betroffen ist, z. B. in ihrer Rechtsstellung als Grundeigentümerin oder als Bauherrin. Darüber hinaus wird den Gemeinden ein Anspruch auf rechtliches Gehör im Verfahren über den Umfang der ihr zustehenden Autonomie zugebil- ligt; in dieser Hinsicht hat der erwähnte Anspruch dieselbe Tragweite wie der verfassungsrechtlich verankerte Gehörsanspruch der Privaten (Jörg Paul Müller, Grundrechte, S. 511 mit Fn. 10; Michele Albertini, Der verfassungsmässige Anspruch auf rechtliches Gehör im Ver- waltungsverfahren des modernen Staates, Bern 2000, S. 140; Pra 81/1992, S. 103; Bundesgericht, in: ZBl 98/1997, S. 261). Im vorlie- genden Fall geht es um die Wahrung der Sonn- und Festtagsruhe bzw. um die Anwendung des kantonalen Gesetzes über die Feier der Sonn- und Festtage (SFG) vom 7. November 1861. In diesem Be- reich sind die Gemeinden nach Massgabe von § 106 Abs. 2 KV au- tonom. Mit der ersatzlosen Aufhebung von Ziffer B/9 Abs. 2 der Baubewilligung vom 4. Januar 1999 (soweit die Schliessung der Autowaschanlage an Sonn- und allgemeinen Feiertagen betreffend) hat der Regierungsrat in diesen Autonomiebereich eingegriffen. Er war daher auch in Bezug auf Argumente, welche der Gemeinderat im vorinstanzlichen Verfahren vorbrachte, begründungspflichtig.</w:t>
      </w:r>
    </w:p>
    <w:p>
      <w:r>
        <w:t>2001 Verwaltungsrechtspflege 369 Die Begründungspflicht ist zudem noch aus einer andern Über- legung zu bejahen. Zweck und Leitgedanke dieser Pflicht ist es u.a., dass die Betroffenen die getroffene Entscheidung verstehen und sachgerecht anfechten können; durch die angemessene Begründung einer Verfügung soll dem Betroffenen ermöglicht werden, sich über die Tragweite eines Entscheides Rechenschaft zu geben und in voller Kenntnis der Gründe ein Rechtsmittel zu ergreifen (Albertini, a.a.O., S. 403; BGE 122 II 362 f.; AGVE 1998, S. 426). Auf die Begrün- dungspflicht müssen sich deshalb alle potentiell zur Beschwerdefüh- rung Legitimierten berufen können, und dazu gehört klarerweise auch ein Gemeinderat, der in seiner Eigenschaft als erstinstanzlich verfügende Behörde in das Verfahren einbezogen wird (vgl. auch Michael Merker, Rechtsmittel, Klage und Normenkontrollverfahren nach dem Aargauischen Gesetz über die Verwaltungsrechtspflege, Diss. Zürich 1998, § 41 Rz. 25). 79 Akteneinsicht. - Regeln für die Beweiserhebung (§ 22 Abs. 1 und 2 VRPG) durch die Verwaltungsbehörden (Erw. 1/b). - Recht auf Einsichtnahme in ein Verhandlungsprotokoll; Korrelat der Aktenerstellungspflicht (Erw. 1/c und d). - Einspracheverhandlungen des Gemeinderats sind zu protokollieren, und den Einsprechern ist auf Verlangen Einsicht in das Protokoll zu gewähren (Erw. 1/e und f). Entscheid des Verwaltungsgerichts, 3. Kammer, vom 10. Mai 2001 in Sachen M. gegen Baudepartement. Aus den Erwägungen 1. Der Beschwerdeführer rügt wie schon vor dem Baudeparte- ment eine Verletzung des rechtlichen Gehörs, da ihm keine Einsicht in das Protokoll der vom Gemeinderat am 14. Oktober 1997 durch- geführten Einspracheverhandlung gewährt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