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AGVE_2001_55 vom 5. Juni 2001</w:t>
      </w:r>
    </w:p>
    <w:p>
      <w:r>
        <w:t>AG Verwaltungsgericht, 2001-06-05, DE</w:t>
      </w:r>
    </w:p>
    <w:p>
      <w:r>
        <w:rPr>
          <w:b/>
        </w:rPr>
        <w:t xml:space="preserve">Quelle: </w:t>
      </w:r>
      <w:r>
        <w:t>https://mcp.opencaselaw.ch/entscheid/ag_verwaltungsgericht_AGVE_2001_55</w:t>
      </w:r>
    </w:p>
    <w:p>
      <w:r>
        <w:t>FR: AG_VERWALTUNGSGERICHT AGVE_2001_55 du 5 juin 2001</w:t>
      </w:r>
    </w:p>
    <w:p>
      <w:r>
        <w:t>IT: AG_VERWALTUNGSGERICHT AGVE_2001_55 del 5 giugno 2001</w:t>
      </w:r>
    </w:p>
    <w:p>
      <w:pPr>
        <w:pStyle w:val="Heading2"/>
      </w:pPr>
      <w:r>
        <w:t>Regeste</w:t>
      </w:r>
    </w:p>
    <w:p>
      <w:r>
        <w:t>Zwangsmassnahmen im Rahmen fürsorgerischer Freiheitsentziehung. - Bei Bereitschaft zur freiwilligen Medikamenteneinnahme ist die Anordnung einer Zwangsmedikation unzulässig.</w:t>
      </w:r>
    </w:p>
    <w:p>
      <w:pPr>
        <w:pStyle w:val="Heading2"/>
      </w:pPr>
      <w:r>
        <w:t>Volltext</w:t>
      </w:r>
    </w:p>
    <w:p>
      <w:r>
        <w:t>228 Verwaltungsgericht 2001 mens mit starken Strukturen und Regeln ist die Arbeitserziehungsan- stalt Kalchrain zweifellos eine für den Beschwerdeführer geeignete Anstalt. 55 Zwangsmassnahmen im Rahmen fürsorgerischer Freiheitsentziehung. - Bei Bereitschaft zur freiwilligen Medikamenteneinnahme ist die Anordnung einer Zwangsmedikation unzulässig. Entscheid des Verwaltungsgerichts, 1. Kammer, vom 5. Juni 2001 in Sachen R.S. gegen Entscheid der Klinik Königsfelden. Aus den Erwägungen 2. c) aa) Der Beschwerdeführer beschwert sich über die ange- ordnete medikamentöse Zwangsbehandlung. Er habe sich nie gewei- gert, die Medikamente Seroquel und Valium in der verordneten Dosis einzunehmen. Damit fehle es aber an einer Voraussetzung zur An- ordnung einer Zwangsmedikation. Es gehe überdies nicht an, dass die Ärzte präventiv als Druckmittel gegen den Patienten eine Zwangsmedikation anordneten. bb) Die Anordnung einer Zwangsmedikation setzt gemäss § 67ebis EG ZGB voraus, dass eine medizinisch indizierte Massnahme gegen den Willen der betroffenen Person vorgenommen wird. Dies ist dann nicht der Fall, wenn jemand freiwillig Medikamente ein- nimmt. Gemäss Praxis des Verwaltungsgerichts in Bezug auf die fürsorgerische Freiheitsentziehung darf eine solche nicht angeordnet werden, wenn ein ernstgemeinter freiwilliger Eintritt bzw. Verbleib in der Klinik vorliegt. Ob ein solcher Eintritt vorliegt, beurteilt sich nicht nur anhand der Aussagen des Betroffenen, sondern auch an seinem bisherigen Verhalten (AGVE 1992, S. 279). Da zwischen der fürsorgerischen Freiheitsentziehung und der Anordnung von Zwangsmassnahmen ein enger Zusammenhang besteht und es sich ebenfalls um einen schweren Eingriff in die persönliche Freiheit des Beschwerdeführers handelt, rechtfertigt es sich, die genannte Praxis</w:t>
      </w:r>
    </w:p>
    <w:p>
      <w:r>
        <w:t>2001 Fürsorgerische Freiheitsentziehung 229 bei der Beurteilung der Freiwilligkeit bei der Medikamentenein- nahme analog anzuwenden. cc) Wie bereits erwähnt, hat sich der Beschwerdeführer an der Verhandlung vom 15. Mai 2001 dahin geäussert, dass er Seroquel und Valium brauche. Der Beschwerdeführer nimmt seit seinem Kli- nikeintritt freiwillig Medikamente per os. Wie er selber sagt, ver- spüre er eine gute Wirkung; ohne Medikamente wäre er weniger ruhig. Es liegen keine Anhaltspunkte vor, dass der Beschwerdeführer im gegenwärtigen Zeitpunkt die Medikamenteneinnahme verweigern würde, denn wie er selber ausführte, sei er an der richtigen Medika- menteneinstellung interessiert. Diese ist im Urteilszeitpunkt noch nicht gefunden worden. Unter diesen Umständen ist es nicht zuläs- sig, rein präventiv eine Zwangsmedikation anzuordnen. Bei ernstge- meinter Freiwilligkeit des Beschwerdeführers ist die Anordnung einer Zwangsmedikation, selbst bei faktischer Gewährung von auf- schiebender Wirkung, unverhältnismässig, da ein entsprechender Eingriff in die persönliche Freiheit des Patienten nicht notwendig ist. Sollte der Beschwerdeführer allerdings in einem späteren Zeitpunkt die Medikamente verweigern und sollte die entsprechende Behand- lung nach wie vor indiziert und eine Zwangsmedikation verhältnis- mässig sein, so steht es der Klinik frei, jederzeit einen neuen Zwangsmassnahmen-Entscheid zu erlassen unter Prüfung der Voraussetzungen im dannzumaligen Zeitpunkt (vgl. VGE I/134 vom 29. August 2000 [BE.2000.00253] in Sachen R.H., S. 17 ff.). Die Voraussetzungen für die Anordnung einer Zwangsmedikation sind beim Beschwerdeführer heute nicht gegeben, so dass seine Be- schwerde vollumfänglich gutgeheissen werden muss. Damit wird die Anordnung der Zwangsmedikation aufgehoben.</w:t>
      </w:r>
    </w:p>
    <w:p>
      <w:r>
        <w:t>230 Verwaltungsgericht 2001 56 Anstaltseinweisung; Beschwerdelegitimation. - Der Ehemann ist als nahestehende Person gemäss Art. 397d ZGB zur Beschwerde legitimiert (Erw. 2/a). - Fehlendes Rechtsschutzinteresse nach Übertritt in eine andere Klinik (Erw. 2/b). Entscheid des Verwaltungsgerichts, 1. Kammer, vom 12. Juni 2001 in Sachen H.U. gegen Verfügung des Bezirksarzts Z. Aus den Erwägungen 2. Verfügungen und Entscheide kann jedermann durch Be- schwerde anfechten, der ein schutzwürdiges eigenes Interesse gel- tend macht (§ 38 Abs. 1 VRPG). a) Zunächst muss der Beschwerdeführer in seinem eigenen In- teresse "berührt", d.h. durch die falsche Rechtsanwendung irgendwie in seiner Interessensphäre in höherem Masse als jedermann bzw. die Allgemeinheit beeinträchtigt sein, weil er eine besondere, beach- tenswerte, nahe Beziehung zur Streitsache aufweist. Dies ist vorlie- gend zweifellos der Fall: Der Beschwerdeführer als Ehemann gilt als nahestehende Person im Sinne von Art. 397d ZGB und ist deshalb zur Beschwerdeführung berechtigt (Thomas Geiser, in: Basler Kom- mentar zum Schweizerischen Privatrecht, Basel/Genf/München 1999, Art. 397d ZGB N 13). b) aa) Zweite Voraussetzung der Legitimation ist die Schutz- würdigkeit des Interesses. "Schutzwürdig" ist das Interesse, wenn der Ausgang des Rechtsmittelverfahrens dem Beschwerdeführer einen naheliegenden, praktischen Nutzen bringt; dazu gehört im Allgemei- nen, dass das Rechtsschutzinteresse aktuell oder in einem qualifi- zierten Sinne künftig ist. Der Beschwerdeführer muss nicht bloss beim Einreichen der Beschwerde, sondern auch noch im Zeitpunkt der Urteilsfällung ein aktuelles, praktisches Interesse an der Aufhe- bung oder Änderung des angefochtenen Entscheids haben. Damit soll sichergestellt werden, dass die rechtsanwendende Behörde kon- krete und nicht bloss theoretische Fragen entscheidet. Fehlt es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