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AGVE_2001_112 vom 27. April 2001</w:t>
      </w:r>
    </w:p>
    <w:p>
      <w:r>
        <w:t>AG Verwaltungsgericht, 2001-04-27, DE</w:t>
      </w:r>
    </w:p>
    <w:p>
      <w:r>
        <w:rPr>
          <w:b/>
        </w:rPr>
        <w:t xml:space="preserve">Quelle: </w:t>
      </w:r>
      <w:r>
        <w:t>https://mcp.opencaselaw.ch/entscheid/ag_verwaltungsgericht_AGVE_2001_112</w:t>
      </w:r>
    </w:p>
    <w:p>
      <w:r>
        <w:t>FR: AG_VERWALTUNGSGERICHT AGVE_2001_112 du 27 avril 2001</w:t>
      </w:r>
    </w:p>
    <w:p>
      <w:r>
        <w:t>IT: AG_VERWALTUNGSGERICHT AGVE_2001_112 del 27 aprile 2001</w:t>
      </w:r>
    </w:p>
    <w:p>
      <w:pPr>
        <w:pStyle w:val="Heading2"/>
      </w:pPr>
      <w:r>
        <w:t>Regeste</w:t>
      </w:r>
    </w:p>
    <w:p>
      <w:r>
        <w:t>Wiedererwägung und Wiederaufnahme. Voraussetzungen des Eintretens auf ein neues Familiennachzugsgesuch nach rechtskräftig erledigtem erstem Gesuch (Erw. II/2 bis 4).</w:t>
      </w:r>
    </w:p>
    <w:p>
      <w:pPr>
        <w:pStyle w:val="Heading2"/>
      </w:pPr>
      <w:r>
        <w:t>Erwägungen</w:t>
      </w:r>
    </w:p>
    <w:p>
      <w:r>
        <w:rPr>
          <w:b/>
        </w:rPr>
        <w:t>E. 3</w:t>
      </w:r>
    </w:p>
    <w:p>
      <w:r>
        <w:t>a) Das erste Familiennachzugsgesuch des Beschwerdeführers für seinen Sohn X. wurde mit rechtskräftigem Einspracheentscheid der Vorinstanz abgewiesen. Die Abweisung erfolgte, weil der Sach- verhalt aufgrund der ungenügenden Mitwirkung des Beschwerdefüh- rers, insbesondere aufgrund der eingereichten widersprüchlichen Dokumente, nicht habe erstellt werden können; weil nicht erstellt sei, wer die leibliche Mutter von X. sei; weil unklar sei, wie das Ver- wandtschaftsverhältnis zwischen X. und dem Beschwerdeführer beziehungsweise zu dessen Ehefrau aussehe; weil zudem unklar sei, ob und wenn ja, seit wann der Beschwerdeführer das Sorgerecht über X. habe und weil unter diesen Umständen auch nicht von einer vor- rangigen familiäre Beziehung zwischen X. und dem Beschwerdefüh- rer ausgegangen werden könne. b) Der Beschwerdeführer bringt in seinem neuen Gesuch einzig vor, es gehe nicht mehr nur um den Nachzug des Sohnes X., sondern neu auch um den Nachzug seiner Ehefrau und der beiden gemeinsa- men Kinder. Andere Noven macht der Beschwerdeführer nicht gel- tend. Insbesondere wird auch nicht geltend gemacht, es lägen im Zusammenhang mit den Gründen, die zur Abweisung des Gesuches geführt hatten, neue Umstände vor. c) Zweifellos stellt das Nachzugsgesuchs für weitere Familien- angehörige und dessen Bewilligung durch die Fremdenpolizei ein echtes Novum dar. Das Gesuch wurde zu Recht als Wiedererwä- gungsgesuch betrachtet. Hingegen ist die geltend gemachte neue Tatsache für die Beurteilung des neuen Familiennachzugsgesuches</w:t>
      </w:r>
    </w:p>
    <w:p>
      <w:r>
        <w:t>2001 Beschwerden gegen Einspracheentscheide der F... 489 betreffend den Sohn keineswegs entscheidwesentlich. Dies wäre allenfalls dann relevant, wenn es sich beim nachzuziehenden Sohn um einen gemeinsamen Sohn des Beschwerdeführers und seiner Ehefrau handeln würde. Nachdem sich aber für keinen der Gründe, die zur Ablehnung des ersten Gesuches geführt haben, aufgrund des geltend gemachten neuen Sachverhalts eine andere Beurteilung auf- drängt, war die Sektion Aufenthalt auch nicht gehalten, das neue Ge- such materiell zu beurteilen. 113 Widerruf der Bewilligung des Familiennachzugs. Nichtigkeit einer Verfügung (Erw. II/1 bis 4). Aus dem Entscheid des Rekursgerichts im Ausländerrecht vom 17. August 2001 in Sachen H.R.O. gegen einen Entscheid der Fremdenpolizei (BE.1999.00021). Sachverhalt A. Der Beschwerdeführer wurde am 12. Dezember 1977 in A., Kanton Aargau, geboren. Er besuchte hier die Primarschule bis zur vierten Klasse und reiste dann gemeinsam mit seinen Geschwistern in die Türkei aus. Seine Eltern wollten ursprünglich nachkommen, änderten aber in der Folge ihre Rückkehrpläne. Der Beschwerdefüh- rer lebte in der Türkei und ging auch dort zur Schule. Die Sommerfe- rien verbrachten er und seine Geschwister aber regelmässig bei den Eltern in der Schweiz. Am 16. Juni 1994 stellte der Vater des Beschwerdeführers, wel- cher hier über eine Niederlassungsbewilligung verfügt, für den Be- schwerdeführer ein Familiennachzugsgesuch, hielt aber in der Folge nicht an diesem fest. Im Sommer 1994 und 1995 hielt sich der Be- schwerdeführer ferienhalber in der Schweiz auf. Am 13. August 1995 reichte sein Vater ein zweites Familiennachzugsgesuch für ihn ein. Mit Schreiben vom 28. November 1995 teilte die Fremdenpolizei, Sektion Bewilligungen, mit, dass gemäss neuer Praxis der Frem- denpolizei und aufgrund von Bundesgerichtsentscheiden ein Famili-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