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AGVE_2000_53 vom 17. November 2000</w:t>
      </w:r>
    </w:p>
    <w:p>
      <w:r>
        <w:t>AG Verwaltungsgericht, 2000-11-17, DE</w:t>
      </w:r>
    </w:p>
    <w:p>
      <w:r>
        <w:rPr>
          <w:b/>
        </w:rPr>
        <w:t xml:space="preserve">Quelle: </w:t>
      </w:r>
      <w:r>
        <w:t>https://mcp.opencaselaw.ch/entscheid/ag_verwaltungsgericht_AGVE_2000_53</w:t>
      </w:r>
    </w:p>
    <w:p>
      <w:r>
        <w:t>FR: AG_VERWALTUNGSGERICHT AGVE_2000_53 du 17 novembre 2000</w:t>
      </w:r>
    </w:p>
    <w:p>
      <w:r>
        <w:t>IT: AG_VERWALTUNGSGERICHT AGVE_2000_53 del 17 novembre 2000</w:t>
      </w:r>
    </w:p>
    <w:p>
      <w:pPr>
        <w:pStyle w:val="Heading2"/>
      </w:pPr>
      <w:r>
        <w:t>Regeste</w:t>
      </w:r>
    </w:p>
    <w:p>
      <w:r>
        <w:t>Zwangsmassnahmen im Rahmen fürsorgerischer Freiheitsentziehung; Fixierung mit Bauchgurt in Isolation; Besuchsverbot für die Seelsorgerin; Bibelentzug.</w:t>
      </w:r>
    </w:p>
    <w:p>
      <w:pPr>
        <w:pStyle w:val="Heading2"/>
      </w:pPr>
      <w:r>
        <w:t>Erwägungen</w:t>
      </w:r>
    </w:p>
    <w:p>
      <w:r>
        <w:rPr>
          <w:b/>
        </w:rPr>
        <w:t>E. 4</w:t>
      </w:r>
    </w:p>
    <w:p>
      <w:r>
        <w:t>a) Seit dem 14. November 2000 und erneut gestützt auf den Zwangsmassnahmen-Entscheid vom 17. November 2000 wird der Beschwerdeführer im Isolationszimmer mit dem Bauchgurt fixiert. An der Verhandlung beklagte er sich, dass er im Gurt ersticke, dass er nicht immer ans Bett gefesselt sein wolle. b) Das bis vor kurzem ungeschriebene verfassungsmässige Recht der persönlichen Freiheit, das in der am 1. Januar 2000 in Kraft getretenen Bundesverfassung vom 18. April 1999 (BV) aus- drücklich in Art.10 und - hinsichtlich des Schutzes der Menschen- würde - auch in Art. 7 gewährleistet ist, beinhaltet insbesondere das Recht auf körperliche und geistige Unversehrtheit, auf Bewegungs- freiheit und Wahrung der Würde des Menschen sowie alle Freiheiten, die elementare Erscheinungen der Persönlichkeitsentfaltung darstel- len (BGE 126 I 114 mit Hinweisen). Das Recht auf persönliche Frei- heit gilt indessen, wie die übrigen Freiheitsrechte, nicht absolut. Ein- schränkungen sind zulässig, wenn sie auf einer gesetzlichen Grund- lage beruhen, im öffentlichen Interesse liegen und verhältnismässig sind; zudem dürfen sie den Kerngehalt des Grundrechts nicht beein- trächtigen, das heisst, dieses darf weder völlig unterdrückt noch sei- nes Gehalts als Institution der Rechtsordnung entleert werden (BGE 126 I 115). Eine Zwangsmassnahme ist namentlich dann unverhält- nismässig, wenn eine ebenso geeignete mildere Anordnung für den angestrebten Erfolg ausreicht. Der Eingriff darf in sachlicher, räumli- cher, zeitlicher und personeller Hinsicht nicht einschränkender sein als notwendig (BGE 126 I 119 f. mit Hinweisen).</w:t>
      </w:r>
    </w:p>
    <w:p>
      <w:r>
        <w:t>2000 Fürsorgerische Freiheitsentziehung 193 c) Beim Entscheid über die Zulässigkeit einer Zwangsmass- nahme darf auch das Schutzbedürfnis Dritter einbezogen werden. Unter Würdigung aller Umstände gilt es somit zu prüfen, ob die Fi- xierung mit Bauchgurt medizinisch indiziert und verhältnismässig sei. aa) Gemäss Aussage des Klinikarztes wurde die Fixierung not- wendig, weil der Beschwerdeführer aggressiv sei und ihm bei jeder Gelegenheit die Faust zeige. Er äussere sich mit viel Wucht und wirke sehr bedrohlich. Er selber besuche ihn jeweils in Begleitung von zwei Personen im Isolationszimmer (Protokoll, S. 13 und 19). Der Pfleger sagte aus, dass sich die Aggressionen hauptsächlich ge- gen die Ärzte richteten und das Pflegepersonal keine Probleme mit dem Beschwerdeführer habe. Der Beschwerdeführer sei im Gurt, weil die Gefahr bestehe, dass er jemanden schlagen könnte, den er nicht möge. Man habe zu wenig Personal auf der Abteilung (Proto- koll, S. 9 f.). Der Zustand des Beschwerdeführers verlangt nach einer Be- handlung mit Medikamenten, die notfalls zwangsweise - d.h. allen- falls auch durch Festgurten zu diesem Zweck - verabreicht werden müssen. Da sich die verbalen und tätlichen Angriffe hauptsächlich gegen die Ärzte richten, ist ein Gurten somit zumindest während der Arztvisite zum Schutz Dritter indiziert. bb) Bei der Frage der Verhältnismässigkeit gilt es aber daran zu erinnern, dass der Eingriff in die persönliche Freiheit durch Fixie- rung ans Bett in extremer Weise den Kerngehalt des Grundrechts betrifft und daher gemäss Art. 36 Abs. 4 BV grundsätzlich unzulässig ist. Ausnahmen sind nur denkbar, wenn in akuter Weise eine Gefahr für Leib und Leben von Menschen besteht. Dabei darf der Eingriff insbesondere in zeitlicher Hinsicht nicht einschränkender sein als zur Abwendung der Gefahr erforderlich (BGE 126 I 119f.). § 67ebis EG ZGB sieht Vorkehrungen vor, zu denen auch die Isolation und Gurtung zählen. Ziel und Zweck einer solchen Massnahme kann aber</w:t>
      </w:r>
    </w:p>
    <w:p>
      <w:r>
        <w:t>194 Verwaltungsgericht 2000 auch gemäss Darstellung in der Botschaft nur der Schutz der betroffenen Person oder deren Mitmenschen sein (Botschaft, S. 6). Es ist nicht nachvollziehbar, weshalb der Beschwerdeführer, der aus Sicherheitsgründen bereits isoliert wird, zusätzlich die ganze Zeit im Gurt ans Bett gebunden sein muss. Ein Festgurten kann nur in akuten Notsituationen verhältnismässig sein. Wo ein Kampf mit dem Beschwerdeführer voraussehbar ist, wie vor einer Visite oder einer Zwangsmedikation, ist das Gurten zum Schutz der Betroffenen an- gebracht. Unverhältnismässig ist dagegen, wenn ein Patient ausser- halb von Notsituationen im Isolationszimmer in den Gurt gelegt wird. Der zuständige Pfleger hat denn auch bestätigt, dass es bei Toilettenbesuchen oder dem Duschen etc. mit dem Beschwerdeführer keine Probleme gebe. Auch anlässlich der Verhandlung konnte sich das Gericht davon überzeugen, dass vom Beschwerdeführer grund- sätzlich keine konkrete Gefahr ausgeht. Wohl ist er - insbesondere den Ärzten gegenüber - verbal massiv bedrohlich, im übrigen aber anständig und wie Pfarrerin R. aussagte, anhänglich und Geborgen- heit suchend. Unter diesen Umständen ist zu befürchten, dass diese extrem einschneidende Sicherheitsmassnahme die Aggression des Beschwerdeführers gegen die Ärzte noch steigert. Das Fixieren mit dem Bauchgurt betrifft den Kerngehalt der Bewegungsfreiheit als Aspekt der persönlichen Freiheit in extremster Form und kann nur bei einer konstanten akuten Gefahr für Leib und Leben verhältnis- mässig sein. Da der Beschwerdeführer sich selber nicht gefährdet und seine Angriffe gegen Dritte sich grundsätzlich nur gegen die behandelnden Ärzte richten, ist ein Fixieren während des ganzen Tages offensichtlich unverhältnismässig. Die Beschwerde ist somit bezüglich des Fixierens mit dem Teilgurt in dem Sinne teilweise gutzuheissen, so dass die Klinik mit milderen Massnahmen einer latenten Gefahr zu begegnen hat. Es ist zweifellos sinnvoll, wenn Ärzte in der Regel - wie schon bisher praktiziert - nicht alleine zum Beschwerdeführer ins Isolationszimmer gehen. Solange sich der Beschwerdeführer nicht gleichzeitig mit Ärzten im Isolationszimmer</w:t>
      </w:r>
    </w:p>
    <w:p>
      <w:r>
        <w:t>2000 Fürsorgerische Freiheitsentziehung 195 aufhält, muss er sich mindestens frei bewegen und so einen Teil sei- ner Aggression abreagieren können. Demgegenüber sind kurze Fixie- rungen mit dem Bauchgurt für die Zeiten der Arztvisiten und der Medikamentenverabreichung verhältnismässig, ebenso bleiben un- vorhergesehene Notfallsituationen mit akuter Gefahr für Leib und Leben vorbehalten.</w:t>
      </w:r>
    </w:p>
    <w:p>
      <w:r>
        <w:rPr>
          <w:b/>
        </w:rPr>
        <w:t>E. 5</w:t>
      </w:r>
    </w:p>
    <w:p>
      <w:r>
        <w:t>a) Der Zwangsmassnahme-Entscheid vom 17. November 2000 sieht zusätzlich ein Besuchsverbot betreffend die Anstaltspfar- rerin R. vor. Es ist vorweg zu prüfen, ob ein solches Besuchsverbot überhaupt als Zwangsmassnahme gemäss § 67ebis EG ZGB qualifi- ziert werden kann. b) Gemäss Abs. 1 der genannten Norm dürfen "Behandlungen und andere Vorkehrungen", die medizinisch indiziert sind, zwangs- weise vorgenommen werden, sofern die notwendige Fürsorge auf andere Weise nicht gewährleistet werden kann. Die Botschaft nennt neben der Zwangsmedikation, Isolation und Gurtung als Beispiele für "andere Vorkehrungen" (Botschaft, S. 6). Eine Zwangsmass- nahme ist nur innerhalb einer fürsorgerischen Freiheitsentziehung zulässig und liegt immer dann vor, wenn durch eine ärztlich ange- ordnete Vorkehr die persönliche Freiheit des Betroffenen noch stär- ker eingeschränkt wird als durch den Zwangsaufenthalt in einer An- stalt. Im vorliegenden Fall ist zu berücksichtigen, dass im Rahmen der fürsorgerischen Freiheitsentziehung bereits die Zwangsmass- nahme der geschlossenen Isolation angeordnet wurde und seit dem</w:t>
      </w:r>
    </w:p>
    <w:p>
      <w:r>
        <w:rPr>
          <w:b/>
        </w:rPr>
        <w:t>E. 6</w:t>
      </w:r>
    </w:p>
    <w:p>
      <w:r>
        <w:t>Der Zwangsmassnahmen-Entscheid vom 17. November 2000 sieht den Entzug der Bibel vor. a) Wie beim Besuchsverbot der Seelsorgerin stellt sich auch hier die Frage, ob es sich dabei um eine Zwangsmassnahme im Sinne von § 67ebis Abs. 1 EG ZGB handelt. Für den Beschwerdeführer ist die Bibel zweifellos ein wichtiges Buch, mit dem er sich häufig und intensiv beschäftigt. Indem dem Beschwerdeführer, der sich bereits im verschlossenen Isolationszimmer aufhält, das Lesen seiner Bibel verunmöglicht wird, wird ihm die persönliche Freiheit zusätzlich beschränkt, weshalb eine Zwangsmassnahme im Sinne der genannten Norm vorliegt.</w:t>
      </w:r>
    </w:p>
    <w:p>
      <w:r>
        <w:t>200 Verwaltungsgericht 2000 b) Der Entzug der Bibel als Zwangsmassnahme gestützt auf § 67ebis EG ZGB ist nur zulässig, wenn er medizinisch indiziert und verhältnismässig ist. aa) Nach Ansicht des behandelnden Arztes verstärkt die Aus- einandersetzung mit der Bibel den religiösen Wahn. Wie schon beim Besuchsverbot der Seelsorgerin beabsichtigt er mit der Massnahme einen Reizentzug und damit eine Hinwendung des Beschwerdefüh- rers zum Alltäglichen. Es soll damit verhindert werden, dass er noch mehr in seine Wahnwelt abtauchen könne. Nach seiner Einschätzung habe der Entzug der Bibel die Aggressionen des Beschwerdeführers nicht verstärkt. Er habe das Buch auch kampflos hergegeben. Ziel der flankierenden Massnahmen (Besuchsverbot und Bibelentzug) sei ein erzieherisches, das aber nur erreicht werden könne, wenn der Lernprozess längere Zeit andaure. Das Gericht zweifelt - wie schon beim Besuchsverbot der Seel- sorgerin - aufgrund des seit Jahren anhaltenden chronischen Zu- standsbildes des Beschwerdeführers an den Erfolgschancen der ver- fügten Massnahme. Aufgrund der Tatsache, dass der Beschwerdefüh- rer in erregtem Zustand gewisse für ihn wichtige Bibelzitate even- tuell nicht sofort findet und durch das Suchen und Blättern noch erregter wird, kann ein gewisser Beruhigungseffekt und damit die medizinische Indikation dieser Anordnung allerdings nicht ausge- schlossen werden. bb) Der Bibelentzug ist unverhältnismässig, wenn damit die persönliche Freiheit des Beschwerdeführers über das notwendige Mass hinaus beschränkt wird. Bereits die Isolierung stellt einen schweren Eingriff in die persönliche Freiheit dar und betrifft deren Kerngehalt (BGE 126 I 115). Die Tatsache, dass der im Isolations- zimmer eingeschlossene Beschwerdeführer zusätzlich nicht in sei- nem Lieblingsbuch lesen darf, stellt einen noch tiefgreifenderen Ein- griff in seine persönliche Freiheit dar und kann daher nur verhältnis- mässig sein, wenn diese Massnahme zur Gewährung der nötigen persönlichen Fürsorge unumgänglich ist, d.h. wenn ohne diese An-</w:t>
      </w:r>
    </w:p>
    <w:p>
      <w:r>
        <w:t>2000 Fürsorgerische Freiheitsentziehung 201 ordnung eine mögliche Heilung verhindert oder eine akute Gefahr für Leib und Leben eintreffen würde. Zum Vergleich sei darauf hin- gewiesen, dass gemäss Bundesgericht Untersuchungsgefangene und ausländerrechtliche Administrativhäftlinge gestützt auf die persönli- che Freiheit und auf Art. 10 Ziff. 1 EMRK sogar ein Recht auf die Zustellung von Zeitungen, Zeitschriften und Büchern haben. Einzig bei Untersuchungshäftlingen gilt bei Kollusionsgefahr die Beschrän- kung, dass Drucksachen nur über Verlage oder Buchhandlungen bezogen werden können (BGE 122 I 234). Umso mehr muss ein isolierter, geisteskranker Patient die Möglichkeit haben, in seiner Bibel zu lesen. Das Recht in der eigenen Bibel zu lesen berührt zu- dem den Kerngehalt der Glaubens- und Gewissensfreiheit und ist daher grundsätzlich unantastbar (Art. 36 Abs. 4 BV). So verbietet die Garantie der Glaubens- und Gewissensfreiheit auch, dass Strafgefan- genen religiöse Bücher, die ihnen von Dritten zur Verfügung gestellt werden, entzogen werden (ZBl 1994, S. 398). Wie bereits mehrfach ausgeführt wurde, besteht die primäre ärztliche Behandlung des Beschwerdeführers in einer medikamentö- sen Therapie mit Neuroleptika. In der akut psychotischen Phase ist zusätzlich eine gewisse Reizabschirmung sinnvoll und auch zum Schutz der übrigen Patienten und des Personals verhältnismässig. Mit diesen Massnahmen ist zwar keine Heilung der chronischen Schizophrenie zu erwarten, jedoch eine Verbesserung des Zustands- bildes, so dass der Beschwerdeführer in einigen Wochen wieder in einem freieren Rahmen in der Klinik leben kann. Selbst wenn der Entzug der Bibel einen kleinen Beitrag zur Beruhigung des Be- schwerdeführers leisten kann, ist die damit verbundene tiefgreifende Einschränkung der Freiheitsrechte des Beschwerdeführers unverhält- nismässig. Der angestrebte Erfolg ist nach ärztlicher und fachrichter- licher Meinung mit den angeordneten medizinisch indizierten Mass- nahmen der medikamentösen Behandlung und der - vorübergehen- den - Isolation anzustreben und selbst gewisse Nachteile wie eine zeitliche Verzögerung, die durch das Bibellesen entstehen könnten,</w:t>
      </w:r>
    </w:p>
    <w:p>
      <w:r>
        <w:t>202 Verwaltungsgericht 2000 rechtfertigen diesen massiven Eingriff in den Kerngehalt des Grund- rechts des Beschwerdeführers nicht. Zum Schutz von Leib und Le- ben ist diese Zwangsmassnahme jedenfalls klarerweise nicht erfor- derlich. Der angeordnete Entzug der Bibel ist demzufolge nicht verhält- nismässig.</w:t>
      </w:r>
    </w:p>
    <w:p>
      <w:r>
        <w:t>2000 Bau-, Raumplanungs- und Umweltschutzrecht 203 VII. Bau-, Raumplanungs- und Umweltschutzrecht</w:t>
      </w:r>
    </w:p>
    <w:p>
      <w:r>
        <w:t>54 Beschwerdelegitimation in Baubewilligungssachen (§ 38 Abs. 1 VRPG). Parteientschädigung an die Gemeinwesen (§ 36 VRPG). - Kein widersprüchliches Verhalten des Gemeinderats, wenn er die Legitimation erst im zweitinstanzlichen Beschwerdeverfahren be- streitet (Erw. II/2/c). - Legitimationspraxis des Verwaltungsgerichts (Erw. II/2/d) und des Bundesgerichts (Erw. II/2/e), insbesondere bei Beschwerden wegen Lärmimmissionen. - Rechtsanwendung im konkreten Einzelfall: Kein rechtserheblicher Nachteil aufgrund des Erscheinungsbildes des Bauvorhabens, das bei beschränkter Sichtverbindung 140 m vom Grundstück des Be- schwerdeführers entfernt ist (Erw. II/2/f/bb), und aufgrund der zu er- wartenden Lärm- und anderen Immissionen (Erw. II/2/f/cc). Vgl. AGVE 2000, S. 365, Nr. 88 55 Planungsermessen der Gemeinde. Rechtsschutz im Beschwerdeverfahren. - Das Ermessen der Planungsträger ist auch im Falle einer (erstmali- gen) Teilgenehmigung einer Nutzungsplanung verbunden mit einer Rückweisung nicht eingeschränkt. Aus Art. 21 RPG ergibt sich keine Kognitionsbeschränkung der Beschwerdeinstanz. - Der Rechtsschutzanspruch verlangt eine volle Überprüfung des kom- munalen Planungsentscheids, insbesondere der Ermessensbetätigung. Entscheid des Verwaltungsgerichts, 4. Kammer, vom 31. Mai 2000 in Sachen R.F. und Mitbeteiligte gegen Entscheid des Regierungsrats und Ent- scheid des Grossen Rats. Aus den Erwägungen 3. a) Die Beschwerdeführer machen geltend, die Einzonung der umstrittenen Teilfläche von 800 m2 sei innerhalb der Gemeinde nie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