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AGVE_2000_43 vom 31. Dezember 2000</w:t>
      </w:r>
    </w:p>
    <w:p>
      <w:r>
        <w:t>AG Verwaltungsgericht, 2000-12-31, DE</w:t>
      </w:r>
    </w:p>
    <w:p>
      <w:r>
        <w:rPr>
          <w:b/>
        </w:rPr>
        <w:t xml:space="preserve">Quelle: </w:t>
      </w:r>
      <w:r>
        <w:t>https://mcp.opencaselaw.ch/entscheid/ag_verwaltungsgericht_AGVE_2000_43</w:t>
      </w:r>
    </w:p>
    <w:p>
      <w:r>
        <w:t>FR: AG_VERWALTUNGSGERICHT AGVE_2000_43 du 31 décembre 2000</w:t>
      </w:r>
    </w:p>
    <w:p>
      <w:r>
        <w:t>IT: AG_VERWALTUNGSGERICHT AGVE_2000_43 del 31 dicembre 2000</w:t>
      </w:r>
    </w:p>
    <w:p>
      <w:pPr>
        <w:pStyle w:val="Heading2"/>
      </w:pPr>
      <w:r>
        <w:t>Regeste</w:t>
      </w:r>
    </w:p>
    <w:p>
      <w:r>
        <w:t>Kostenauflage. - Kostenauflage an den obsiegenden Beschwerdeführer wegen verspäteten Vorbringens von Sachverhaltselementen, aber in der Regel nicht wegen verspäteten Vorbringens rechtlicher Argumente (Erw. II).</w:t>
      </w:r>
    </w:p>
    <w:p>
      <w:pPr>
        <w:pStyle w:val="Heading2"/>
      </w:pPr>
      <w:r>
        <w:t>Erwägungen</w:t>
      </w:r>
    </w:p>
    <w:p>
      <w:r>
        <w:rPr>
          <w:b/>
        </w:rPr>
        <w:t>E. 43</w:t>
      </w:r>
    </w:p>
    <w:p>
      <w:r>
        <w:t>Kostenauflage. - Kostenauflage an den obsiegenden Beschwerdeführer wegen verspäteten Vorbringens von Sachverhaltselementen, aber in der Regel nicht wegen verspäteten Vorbringens rechtlicher Argumente (Erw. II). Vgl. AGVE 2000, S. 352, Nr. 85</w:t>
      </w:r>
    </w:p>
    <w:p>
      <w:r>
        <w:rPr>
          <w:b/>
        </w:rPr>
        <w:t>E. 44</w:t>
      </w:r>
    </w:p>
    <w:p>
      <w:r>
        <w:t>Rechtsmittel, Formerfordernis der Schriftlichkeit. - Ein mittels Fax eingereichtes Rechtsmittel ist ungültig, da die Originalunterschrift fehlt. Eine Nachfrist zur Verbesserung ist nicht anzusetzen (Bestätigung der Rechtsprechung) (Erw. 1-3). - Dies gilt auch für die Einsprache gegen die Steuerveranlagung (Erw. 3/c). Vgl. AGVE 2000, S. 347, Nr. 79</w:t>
      </w:r>
    </w:p>
    <w:p>
      <w:r>
        <w:rPr>
          <w:b/>
        </w:rPr>
        <w:t>E. 45</w:t>
      </w:r>
    </w:p>
    <w:p>
      <w:r>
        <w:t>Reformatio in peius. - Bei Einverständnis des Steuerpflichtigen ist es trotz des Verbots der reformatio in peius im verwaltungsgerichtlichen Beschwerde- verfahren zulässig, die Veranlagung wegen neuer Tatsachen zu Un- gunsten des Steuerpflichtigen abzuändern, um so ein Nach- steuerverfahren zu verhindern. Vgl. AGVE 2000, S. 347, Nr. 80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