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VKL.2022.16 vom 23. Mai 2023</w:t>
      </w:r>
    </w:p>
    <w:p>
      <w:r>
        <w:t>Ag Versicherungsgericht, 2023-05-23, DE</w:t>
      </w:r>
    </w:p>
    <w:p>
      <w:r>
        <w:rPr>
          <w:b/>
        </w:rPr>
        <w:t xml:space="preserve">Quelle: </w:t>
      </w:r>
      <w:r>
        <w:t>https://mcp.opencaselaw.ch/entscheid/ag_versicherungsgericht_VKL.2022.16</w:t>
      </w:r>
    </w:p>
    <w:p>
      <w:r>
        <w:t>FR: AG_VERSICHERUNGSGERICHT VKL.2022.16 du 23 mai 2023</w:t>
      </w:r>
    </w:p>
    <w:p>
      <w:r>
        <w:t>IT: AG_VERSICHERUNGSGERICHT VKL.2022.16 del 23 maggio 2023</w:t>
      </w:r>
    </w:p>
    <w:p>
      <w:pPr>
        <w:pStyle w:val="Heading2"/>
      </w:pPr>
      <w:r>
        <w:t>Erwägungen</w:t>
      </w:r>
    </w:p>
    <w:p>
      <w:r>
        <w:rPr>
          <w:b/>
        </w:rPr>
        <w:t>E. 3</w:t>
      </w:r>
    </w:p>
    <w:p>
      <w:r>
        <w:t>Aufl. 2019, S. 319 N. 983 ff.). Aus den (möglicherweise) erfüllten Voraus- setzungen für die Ausrichtung eines Todesfallkapital kann nicht auf das Vorliegen eines Anspruchs auf eine Lebenspartnerrente geschlossen wer- den.</w:t>
      </w:r>
    </w:p>
    <w:p>
      <w:r>
        <w:t>- 6 - Über einen gemeinsamen Wohnsitz im Sinne des ZGB verfügten die Klä- gerin und B. unbestrittenermassen nicht (vgl. E. 3.2.). Vor diesem Hintergrund erübrigen sich Ausführungen zu den klägerischen Vorbringen betreffend die Rechtsprechung zur Annahme eines gemeinsamen Haus- haltes. Ein solcher ist rechtsprechungsgemäss insgesamt weit und insbe- sondere weiter zu verstehen als der Wohnsitzbegriff (vgl. BGE 137 V 383 E. 3.3 S. 388 f.; Urteil des Bundesgerichts 9C_485/2021 vom 21. Februar 2022 E. 4.5.3). Eine Diskriminierung gegenüber Ehepaaren liegt sodann mangels Vergleichbarkeit nicht vor. Für überlebende Ehegatten besteht (unter gewissen weiteren Voraussetzungen) unabhängig von einem ge- meinsamen Wohnsitz von Gesetzes wegen ein Anspruch auf eine obliga- torische BVG-Rente (vgl. Art. 19 BVG). Eine eventuelle Lebenspartner- rente indes ist fakultativ, Teil der überobligatorischen Versicherung und hat eine reglementarische Basis. Eine Gleichbehandlung von Ehegatten und Konkubinatspartnern liegt somit ausserhalb der gesetzgeberischen Inten- tion. Zudem ist darauf hinzuweisen, dass es sich bei der Entscheidung, keine Ehe eingehen zu wollen, um einen freien und bewussten Entschluss handelt, welcher in den meisten Fällen gerade daher rühren dürfte, auf die einer Ehe inhärenten Pflichten (und damit auch auf die damit verbundenen Rechte) verzichten zu wollen. Im Zusammenhang mit der Rechtssicherheit weist die Beklagte sodann füglich darauf hin (vgl. KA Ziff. 33), dass in Ehen gesetzliche Unterstützungsansprüche bestehen und das Vorliegen einer Ehe im Gegensatz zu einer anspruchsbegründenden ausserehelichen Le- bensgemeinschaft mit Unterstützungsleistungen des Versicherten im Sinne von Art. 20a Abs. 1 lit. a BVG ohne Weiteres bewiesen werden kann, wes- halb kein Anlass besteht, bei Ehepartnern (zur Beweiserleichterung) für den Anspruch auf eine Hinterlassenenleistung einen gemeinsamen Wohn- sitz vorauszusetzen. Nachdem einer Vertragsauslegung Erfolg beschieden war, fällt die Anwendung der Unklarheitsregel sodann ohnehin ausser Be- tracht (vgl. BGE 133 III 61 E. 2.2.2.3 S. 69; Urteil des Bundesge- richts 4A_521/2015 vom 7. Januar 2016 E. 2.1).</w:t>
      </w:r>
    </w:p>
    <w:p>
      <w:r>
        <w:rPr>
          <w:b/>
        </w:rPr>
        <w:t>E. 3.1</w:t>
      </w:r>
    </w:p>
    <w:p>
      <w:r>
        <w:t>Der vorliegend im Streit liegende Art. 19 des Vorsorgereglements lautet wie folgt (Klageantwortbeilage [AB] 2/21): "Art. 19 - Lebenspartnerrente (1) Anspruch auf eine Lebenspartnerrente hat der/die überlebende, von der versicherten Person bezeichnete Lebenspartner/in (verschiedenen oder gleichen Geschlechts) wenn eine versicherte Person vor oder nach dem Altersrentenbeginn stirbt, sofern im Zeitpunkt des Todes der versicherten Person zusätzlich folgende Bedingungen erfüllt sind: a) die Lebenspartner nachweislich in einer festen und ausschliesslichen Zweierbeziehung mit gemeinsamem Wohnsitz gelebt haben,</w:t>
      </w:r>
    </w:p>
    <w:p>
      <w:r>
        <w:t>- 4 - b) die versicherte und die begünstigte Person jeweils unverheiratet bzw. nicht in eingetragener Partnerschaft und im Sinne von Art. 95 ZGB nicht verwandt sind, c) entweder der/die bezeichnete Lebenspartner/in das 45. Lebensjahr zu- rückgelegt hat und die Lebenspartnerschaft mindestens während der letzten 5 Jahre ununterbrochen gedauert hat oder der/die bezeichnete Lebenspartner/in für mindestens ein gemeinsames Kind mit Anspruch auf Waisenrente der Stiftung aufkommen muss, d) die versicherte Person der Stiftung bereits zu Lebzeiten den/die be- günstigten Lebenspartner/in schriftlich mitgeteilt hat. Ist diese Meldung unterblieben, besteht keine Leistungspflicht der Stiftung. (2) Im Todesfall eines Alters- oder Invalidenrentners besteht nur dann An- spruch auf eine Lebenspartnerrente, falls sämtliche vorstehenden Voraus- setzungen bereits im Zeitpunkt der erstmaligen (Alters- oder Invaliden-) Rentenzahlung erfüllt waren. […]"</w:t>
      </w:r>
    </w:p>
    <w:p>
      <w:r>
        <w:rPr>
          <w:b/>
        </w:rPr>
        <w:t>E. 3.2</w:t>
      </w:r>
    </w:p>
    <w:p>
      <w:r>
        <w:t>Die Klägerin bringt zusammengefasst vor, sie und B. hätten aufgrund der jeweiligen beruflichen Standortgebundenheit und der Schulpflicht der Kinder über keinen gemeinsamen Wohnsitz verfügen können (Klage Ziff. 7). Das Kriterium des Wohnsitzes trage den tatsächlichen wirtschaftli- chen und gesellschaftlichen Gegebenheiten der heutigen Zeit ungenügend Rechnung, weshalb auf den manifesten Willen abzustellen sei, als unge- teilte Wohngesellschaft im selben Haushalt zu leben (Klage Ziff. 20, 24; Replik Ziff. 17 f.), was vorliegend erfüllt sei. Ferner liege eine Diskriminie- rung gegenüber Ehegatten vor, da diese für Hinterlassenenleistungen über keinen gemeinsamen Wohnsitz verfügen müssten (Klage Ziff. 21; Replik Ziff. 19). Zudem sei das Erfordernis eines gemeinsamen Wohnsitzes als ungewöhnlich zu qualifizieren und die daraus folgende Restriktion der Be- günstigung der Klägerin widerspreche dem objektiven Vertragswillen von B. (Klage Ziff. 25-28; Replik Ziff. 21-24). Des Weiteren sei die Ver- tragsbestimmung im Gesamtzusammenhang unklar, da für den Anspruch auf ein Todesfallkapital kein gemeinsamer Wohnsitz der Lebenspartner verlangt werde (Klage Ziff. 29-32; Replik Ziff. 26 ff.). Zudem verstosse die Leistungsablehnung gegen Treu und Glauben (Klage Ziff. 33-37; Replik Ziff. 25). Die Beklagte vertritt demgegenüber die Ansicht, sie sei zur reglementari- schen Einschränkung des Begünstigtenkreises gegenüber Art. 20a BVG befugt. Das Reglement verlange unmissverständlich einen gemeinsamen Wohnsitz, was zulässig sei (Klageantwort [KA] Ziff. 17-25, 31-34; Duplik Ziff. 5-7, 25). Diese Klausel sei sodann weder ungewöhnlich (KA Ziff. 35 f.; Duplik Ziff. 28 f.) noch unklar (KA Ziff. 37-39; Duplik Ziff. 30). Ebenso liege kein Verstoss gegen Treu und Glauben vor (KA Ziff. 40 f.).</w:t>
      </w:r>
    </w:p>
    <w:p>
      <w:r>
        <w:t>- 5 -</w:t>
      </w:r>
    </w:p>
    <w:p>
      <w:r>
        <w:rPr>
          <w:b/>
        </w:rPr>
        <w:t>E. 3.3</w:t>
      </w:r>
    </w:p>
    <w:p>
      <w:r>
        <w:t>Die Auslegung des Reglements einer privatrechtlichen Vorsorgeeinrich- tung als vorformulierter Inhalt des Vorsorgevertrages geschieht nach dem Vertrauensprinzip. Dabei sind jedoch die den Allgemeinen Versicherungs- bedingungen innewohnenden Besonderheiten zu beachten, namentlich die sogenannten Unklarheits- und Ungewöhnlichkeitsregeln. Nach diesen Aus- legungsgrundsätzen gilt es, ausgehend vom Wortlaut und unter Berück- sichtigung des Zusammenhanges, in dem eine streitige Bestimmung inner- halb des Reglements als Ganzes steht, den objektiven Vertragswillen zu ermitteln, den die Parteien mutmasslich hatten. Dabei hat das Gericht zu berücksichtigen, was sachgerecht ist, weil nicht angenommen werden kann, dass die Parteien eine unvernünftige Lösung wollten (BGE 144 V 376 E. 2.2 S. 378; 140 V 50 E. 2.2 S. 51 f.; Urteil des Bundesge- richts 9C_485/2021 vom 21. Februar 2022 E. 4.2).</w:t>
      </w:r>
    </w:p>
    <w:p>
      <w:r>
        <w:rPr>
          <w:b/>
        </w:rPr>
        <w:t>E. 3.4</w:t>
      </w:r>
    </w:p>
    <w:p>
      <w:r>
        <w:t>Gemäss Art. 13 Abs. 1 ATSG bestimmt sich der Wohnsitz einer Person nach den Art. 23 bis 26 ZGB. Das ATSG ist im Bereich der beruflichen Vorsorge zwar nicht anwendbar (vgl. Urteil des Bundesge- richts 9C_73/2010 vom 28. September 2010 E. 8), allerdings besteht kein Anlass, im BVG-Bereich von einem vom übrigen Sozialversicherungsrecht abweichenden Wohnsitzbegriff auszugehen. Es ist folglich aufgrund des Wortlautes des Art. 19 Abs. 1 lit. a des Vorsorgereglements ohne Weiteres davon auszugehen, dass ein gemeinsamer Wohnsitz im Sinne des ZGB verlangt wird. Dies erweist sich sowohl in grundsätzlicher Hinsicht als auch insbesondere aus Gründen der Rechtssicherheit (Beweis anspruchsbe- gründender Umstände) als zulässig (BGE 138 V 98 E. 4 S. 101), lassen sich doch damit gerade die in der Praxis vergleichsweise oft ausgetragenen rechtlichen Auseinandersetzungen über die Frage des Vorliegens einer Le- bensgemeinschaft i.S.v. Art. 20a Abs. 1 lit. a BVG vermeiden. Auch die Be- rücksichtigung des Zusammenhangs innerhalb des Reglements ändert da- ran nichts. So kann die Klägerin insbesondere daraus nichts zu ihren Guns- ten ableiten, dass für den (potentiellen) Anspruch des Lebenspartners auf ein Todesfallkapital nach Art. 21 Abs. 2 Ziff. III des Vorsorgereglements kein gemeinsamer Haushalt vorausgesetzt wird (AB 2/22). Dabei handelt es sich um einen von einer Lebenspartnerrente gänzlich unterschiedlichen Anspruch, welcher im Übrigen auch erst zur Auszahlung gelangt, wenn nach Finanzierung der übrigen Hinterlassenenleistungen noch Kapital ver- bleibt (Art. 21 Abs. 1 des Vorsorgereglements). Zudem ist die Vorsorgeein- richtung auch bei der Regelung der Begünstigungen eines Todesfallkapi- tals frei (vgl. E. 2.2. sowie HANS-ULRICH STAUFFER, Berufliche Vorsorge,</w:t>
      </w:r>
    </w:p>
    <w:p>
      <w:r>
        <w:rPr>
          <w:b/>
        </w:rPr>
        <w:t>E. 3.5.1</w:t>
      </w:r>
    </w:p>
    <w:p>
      <w:r>
        <w:t>Die Anwendung der Ungewöhnlichkeitsregel setzt voraus, dass die betref- fende Klausel objektiv beurteilt einen geschäftsfremden Inhalt aufweist. Dies ist dann zu bejahen, wenn sie zu einer wesentlichen Änderung des Vertragscharakters führt oder in erheblichem Masse aus dem gesetzlichen Rahmen des Vertragstypus fällt. Je stärker eine Klausel die Rechtsstellung des Vertragspartners beeinträchtigt, desto eher ist sie als ungewöhnlich zu qualifizieren. Von der global erklärten Zustimmung zu allgemeinen Ver- tragsbedingungen sind alle ungewöhnlichen Klauseln ausgenommen, auf deren Vorhandensein die schwächere oder weniger geschäftserfahrene Partei nicht gesondert aufmerksam gemacht worden ist (BGE 138 III 411 E. 3.1 S. 412 f.; Urteil des Bundesgerichts 4A_196/2019 vom 10. Juli 2019 E. 2.1).</w:t>
      </w:r>
    </w:p>
    <w:p>
      <w:r>
        <w:t>- 7 -</w:t>
      </w:r>
    </w:p>
    <w:p>
      <w:r>
        <w:rPr>
          <w:b/>
        </w:rPr>
        <w:t>E. 3.5.2</w:t>
      </w:r>
    </w:p>
    <w:p>
      <w:r>
        <w:t>Rechtsprechungsgemäss obliegt es einer Vorsorgeeinrichtung, ob sie überhaupt die Ausrichtung einer Lebenspartnerrente vorsieht und die Vor- aussetzungen dafür enger zu fassen als im Gesetz vorgesehen (vgl. E. 2.2.). Aus objektiver Sicht kann es vor diesem Hintergrund nicht als ungewöhnlich gelten, wenn eine Vorsorgeeinrichtung die Ausrichtung einer Lebenspartnerrente (u.a. aus Gründen der Beweisführung) von einem ge- meinsamen Wohnsitz abhängig macht. Es wird sodann auch nicht geltend gemacht, dass sich die Beklagte im Moment des Vertragsschlusses im Jahr 2009 bewusst gewesen wäre, dass B. und die Klägerin Lebenspartner wären. Vor diesem Hintergrund bestand ohnehin kein Anlass, diesen zum Zeitpunkt des Vertragsschlusses auf die Voraussetzungen für die Ausrichtung einer Lebenspartnerrente aufmerksam zu machen. Das Erfor- dernis des gemeinsamen Wohnsitzes führt sodann weder zu einer wesent- lichen Änderung des Vertragscharakters noch fällt es in erheblichem Masse aus dem Rahmen (vgl. E. 3.5.1.).</w:t>
      </w:r>
    </w:p>
    <w:p>
      <w:r>
        <w:rPr>
          <w:b/>
        </w:rPr>
        <w:t>E. 3.6</w:t>
      </w:r>
    </w:p>
    <w:p>
      <w:r>
        <w:t>Soweit die Klägerin einen Verstoss gegen Treu und Glauben geltend macht, ist ihr ebenfalls nicht zu folgen. Nachdem B. der Beklagten die Klägerin am 6. Januar 2019 als zu begünstigende Lebenspartnerin ge- meldet hatte (AB 1.1; 1.3 f.), hielt diese jeweils in den Schreiben vom 8. Ja- nuar und 17. Juli 2019 fest, die Anspruchsberechtigung werde (erst) im Leistungsfall geprüft und verwies für den Anspruch auf Art. 19 ihres Vor- sorgereglements (AB 1.2) bzw. gab die entsprechende Reglementsbestim- mung und damit auch die Voraussetzung des gemeinsamen Wohnsitzes für den Anspruch auf eine Lebenspartnerrente wörtlich wieder (AB 1.5). Un- ter diesen Umständen ist nicht ersichtlich, inwiefern B. "in guten Treuen darauf [hätte] vertrauen [dürfen], dass die Klägerin die reglementarischen Anforderungen an eine Lebenspartnerrente vollumfänglich erfüllt" (Klage Ziff. 35). Eine entsprechende Leistungszusicherung liegt gerade nicht vor. Im Übrigen ist der Beklagten auch dahingehend beizupflichten, dass B. die Reglementsbestimmung über die Ausrichtung einer Lebenspartnerrente gekannt und gelesen haben muss (vgl. KA Ziff. 41; Duplik Ziff. 29), nahm dieser doch in seinem Schreiben vom 6. Januar 2019 für die (erstmalige) Anmeldung der Klägerin als zu begünstigende Lebenspartnerin explizit auf diese Bestimmung Bezug (AB 1.1).</w:t>
      </w:r>
    </w:p>
    <w:p>
      <w:r>
        <w:rPr>
          <w:b/>
        </w:rPr>
        <w:t>E. 4.1</w:t>
      </w:r>
    </w:p>
    <w:p>
      <w:r>
        <w:t>Nach dem Dargelegten steht der Klägerin keine Lebenspartnerrente im Sinne des Art. 19 des Vorsorgereglements der Beklagten zu. Die Klage ist folglich abzuweisen.</w:t>
      </w:r>
    </w:p>
    <w:p>
      <w:r>
        <w:t>- 8 -</w:t>
      </w:r>
    </w:p>
    <w:p>
      <w:r>
        <w:rPr>
          <w:b/>
        </w:rPr>
        <w:t>E. 4.2</w:t>
      </w:r>
    </w:p>
    <w:p>
      <w:r>
        <w:t>Das Verfahren ist kostenlos (Art. 73 Abs. 2 BVG).</w:t>
      </w:r>
    </w:p>
    <w:p>
      <w:r>
        <w:rPr>
          <w:b/>
        </w:rPr>
        <w:t>E. 4.3</w:t>
      </w:r>
    </w:p>
    <w:p>
      <w:r>
        <w:t>Die Klägerin hat ausgangsgemäss (§ 64 Abs. 3 VRPG i.V.m. Art. 106 ZPO) und die Beklagte aufgrund ihrer Stellung als Sozialversicherungsträgerin (BGE 128 V 323; 128 V 143) keinen Anspruch auf eine Parteientschädi- gung. Das Versicherungsgericht erkennt: 1. Die Klage wird abgewiesen.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- 9 - Aarau, 23. Mai 2023 Versicherungsgericht des Kantons Aargau 3. Kammer Die Präsidentin: Der Gerichtsschreiber: Gössi Battaglia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