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VKL.2016.8 vom 1. Januar 1999</w:t>
      </w:r>
    </w:p>
    <w:p>
      <w:r>
        <w:t>Ag Versicherungsgericht, 1999-01-01, DE</w:t>
      </w:r>
    </w:p>
    <w:p>
      <w:r>
        <w:rPr>
          <w:b/>
        </w:rPr>
        <w:t xml:space="preserve">Quelle: </w:t>
      </w:r>
      <w:r>
        <w:t>https://mcp.opencaselaw.ch/entscheid/ag_versicherungsgericht_VKL.2016.8</w:t>
      </w:r>
    </w:p>
    <w:p>
      <w:r>
        <w:t>FR: AG_VERSICHERUNGSGERICHT VKL.2016.8 du 1 janvier 1999</w:t>
      </w:r>
    </w:p>
    <w:p>
      <w:r>
        <w:t>IT: AG_VERSICHERUNGSGERICHT VKL.2016.8 del 1 gennaio 1999</w:t>
      </w:r>
    </w:p>
    <w:p>
      <w:pPr>
        <w:pStyle w:val="Heading2"/>
      </w:pPr>
      <w:r>
        <w:t>Regeste</w:t>
      </w:r>
    </w:p>
    <w:p>
      <w:r>
        <w:t>Art. 73 BVG; § 64 Abs. 3 VRPG; Art. 106 Abs. 1 und 2 ZPO; Art. 61 lit. g ATSG; § 3 Abs. 1 lit. b, §§ 6, 8a Abs. 3 AnwT Mangels einer Regelung im Bundesrecht richtet sich die Parteientschädigung bei Streitigkeiten nach Art. 73 BVG zwischen anspruchsberechtigtem Arbeitnehmer und beitragspflichtigem Arbeitgeber nach kantonalem Prozessrecht. Die Verlegung der Parteientschädigung richtet sich nach Obsiegen und Unterliegen. Gemäss Praxis des Versicherungsgerichts des Kantons Aargau ist bei einem durchschnittlichen Klageverfahren die berufliche Vorsorge betreffend von einer Grundentschädigung von Fr. 3'000.00 auszugehen.</w:t>
      </w:r>
    </w:p>
    <w:p>
      <w:pPr>
        <w:pStyle w:val="Heading2"/>
      </w:pPr>
      <w:r>
        <w:t>Volltext</w:t>
      </w:r>
    </w:p>
    <w:p>
      <w:r>
        <w:t>pathie im ambulanten und stationären Bereich. Die Rezertifizierung erfolgt alle drei Jahre und umfasst pro Jahr 25 Stunden Fortbildung in Homöopathie. Die Fähigkeitsausweise werden von der Weiter und Fortbildungskommission des SVHA verwaltet und rezertifiziert (Fähigkeitsprogramm vom 1. Januar 1999 (letzte Revision: 10.Sep tember 2015) vgl. KLV Anhang 1 Ziff. 10 Komplementärmedizin Homöopathie (SVHA) Fn. 37). Betreffend die Voraussetzungen der Wissenschaftlichkeit der homöopathischen Behandlung sowie der Wirksamkeit, Zweckmässigkeit und Wirtschaftlichkeit der in die SL aufgenommenen homöopathischen Präparate ist gemäss dem in E. 3. Ausgeführten trotz bzw. bei laufender Evaluation von der Fiktion auszugehen, dass diese erfüllt sind. 8 Art.73 BVG; §64 Abs.3 VRPG; Art.106 Abs.1 und 2 ZPO; Art.61 lit.g ATSG; §3 Abs.1 lit.b, §§6, 8a Abs.3 AnwT Mangels einer Regelung im Bundesrecht richtet sich die Parteientschädi gung bei Streitigkeiten nach Art.73 BVG zwischen anspruchsberechtig tem Arbeitnehmer und beitragspflichtigem Arbeitgeber nach kantonalem Prozessrecht. Die Verlegung der Parteientschädigung richtet sich nach Obsiegen und Unterliegen. Gemäss Praxis des Versicherungsgerichts des Kantons Aargau ist bei einem durchschnittlichen Klageverfahren die berufliche Vorsorge betreffend von einer Grundentschädigung von Fr.3'000.00 auszugehen. Aus dem Entscheid des Versicherungsgerichts, 3.Kammer, vom 23.Februar 2017, i.S. S.B. gegen X. GmbH (VKL.2016.8). 9 Art. 51 Abs.1 lit.a, Art.52 Abs.1 AVIG; Art.5 Abs.2 AHVG; Art.7 AHVV Fällt ein Arbeitgeber nach einer ordentlichen Kündigung, infolge welcher der Arbeitnehmer seine Restferien bezieht, in Konkurs, besteht Anspruch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