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VBE.2025.324 vom 2. März 2026</w:t>
      </w:r>
    </w:p>
    <w:p>
      <w:r>
        <w:t>Ag Versicherungsgericht, 2026-03-02, DE</w:t>
      </w:r>
    </w:p>
    <w:p>
      <w:r>
        <w:rPr>
          <w:b/>
        </w:rPr>
        <w:t xml:space="preserve">Quelle: </w:t>
      </w:r>
      <w:r>
        <w:t>https://mcp.opencaselaw.ch/entscheid/ag_versicherungsgericht_VBE.2025.324</w:t>
      </w:r>
    </w:p>
    <w:p>
      <w:r>
        <w:t>FR: AG_VERSICHERUNGSGERICHT VBE.2025.324 du 2 mars 2026</w:t>
      </w:r>
    </w:p>
    <w:p>
      <w:r>
        <w:t>IT: AG_VERSICHERUNGSGERICHT VBE.2025.324 del 2 marzo 2026</w:t>
      </w:r>
    </w:p>
    <w:p>
      <w:pPr>
        <w:pStyle w:val="Heading2"/>
      </w:pPr>
      <w:r>
        <w:t>Erwägungen</w:t>
      </w:r>
    </w:p>
    <w:p>
      <w:r>
        <w:rPr>
          <w:b/>
        </w:rPr>
        <w:t>E. 3</w:t>
      </w:r>
    </w:p>
    <w:p>
      <w:r>
        <w:t>Unter Kosten- und Entschädigungsfolgen (zuzüglich der gesetzlichen Mehrwertsteuer) zulasten der Beschwerdegegnerin." 2.2. Mit Vernehmlassung vom 22. August 2025 beantragte die Beschwerdegeg- nerin die Abweisung der Beschwerde.</w:t>
      </w:r>
    </w:p>
    <w:p>
      <w:r>
        <w:t>- 3 - Das Versicherungsgericht zieht in Erwägung: 1. Streitig und zu prüfen ist, ob die Beschwerdegegnerin den Anspruch der Beschwerdeführerin auf Erhöhung des Intensivpflegezuschlages mit Verfü- gung vom 7. Juli 2025 (Vernehmlassungsbeilage [VB] 559) zu Recht ver- neint hat. Die Rechtmässigkeit der Zusprechung einer Entschädigung auf- grund einer schweren Hilflosigkeit ist dagegen – nach Lage der Akten zu Recht – unbestritten. 2. 2.1. Gemäss Art. 42 Abs. 1 Satz 1 IVG haben versicherte Personen mit Wohn- sitz und gewöhnlichem Aufenthalt in der Schweiz (Art. 13 ATSG), die hilflos sind (Art. 9 ATSG), Anspruch auf eine Hilflosenentschädigung. Als hilflos gilt eine Person, die wegen der Beeinträchtigung der Gesundheit für alltäg- liche Lebensverrichtungen dauernd der Hilfe Dritter oder der persönlichen Überwachung bedarf (Art. 9 ATSG). 2.1.1. Zur Beurteilung der Hilflosigkeit sind praxisgemäss (BGE 121 V 88 E. 3a S. 90 mit Hinweis) die folgenden sechs alltäglichen Lebensverrichtungen massgebend: - Ankleiden, Auskleiden; - Aufstehen, Absitzen, Abliegen; - Essen; - Körperpflege; - Verrichtung der Notdurft; - Fortbewegung (im oder ausser Haus), Kontaktaufnahme. Für das Vorliegen der Hilfslosigkeit in einer Lebensverrichtung, welche mehrere Teilfunktionen umfasst, genügt dabei, dass die versicherte Person bei einer dieser Teilfunktionen regelmässig in erheblicher Weise auf direkte oder indirekte Dritthilfe angewiesen ist (BGE 121 V 88 E. 3c. S. 91). 2.1.2. Die Hilfslosigkeit gilt als schwer, wenn die versicherte Person vollständig hilflos ist. Dies ist der Fall, wenn sie in allen alltäglichen Lebensverrichtun- gen regelmässig in erheblicher Weise auf die Hilfe Dritter angewiesen ist und überdies der dauernden Pflege oder der persönlichen Überwachung bedarf (Art. 37 Abs. 1 IVV).</w:t>
      </w:r>
    </w:p>
    <w:p>
      <w:r>
        <w:t>- 4 - 2.2. 2.2.1. Die Hilflosenentschädigung für Minderjährige, die zusätzlich eine intensive Betreuung brauchen, wird um einen Intensivpflegezuschlag erhöht (Art. 42ter Abs. 3 IVG i.V.m. Art. 39 IVV). Eine intensive Betreuung liegt bei Minderjährigen vor, wenn diese im Tagesdurchschnitt infolge Beeinträchti- gung der Gesundheit zusätzliche Betreuung von mindestens vier Stunden benötigen (Art. 39 Abs. 1 IVV). Anrechenbar als Betreuung ist gemäss Art. 39 Abs. 2 IVV der Mehrbedarf an Behandlungs- und Grundpflege im Vergleich zu nicht behinderten Minderjährigen gleichen Alters. Nicht anre- chenbar ist der Zeitaufwand für ärztlich verordnete medizinische Massnah- men, welche durch medizinische Hilfspersonen vorgenommen werden, so- wie für pädagogisch-therapeutische Massnahmen. Bedarf eine minderjäh- rige Person infolge Beeinträchtigung der Gesundheit zusätzlich einer dau- ernden Überwachung, so kann diese nach Art. 39 Abs. 3 IVV als Betreuung von zwei Stunden angerechnet werden. Eine besonders intensive behinde- rungsbedingte Überwachung ist als Betreuung von vier Stunden anrechen- bar. 2.2.2. Gemäss Kreisschreiben über Hilflosigkeit (KSH, gültig ab 1. Januar 2022, Stand 1. Januar 2025) ist der zeitliche Mehraufwand für die Betreuung ge- genüber gleichaltrigen nicht behinderten Minderjährigen anrechenbar, der verursacht wird durch Massnahmen der Behandlungspflege (medizinische Massnahmen, sofern nicht durch medizinische Hilfspersonen erbracht), der Grundpflege und/oder der Überwachung (Rz. 5008 KSH). Zur Sicherstel- lung der Rechtsgleichheit bei der Berechnung des Intensivpflegezuschlags wurden betreffend den anrechenbaren Mehraufwand für Grund- und Be- handlungspflege zeitliche Höchstgrenzen festgelegt. Anhang 3 zum KSH nennt diese Höchstgrenzen sowie die für die Grundpflege von gesunden Minderjährigen notwendige Zeit (Rz. 5010 KSH). Die Höchstgrenzen gewährleisten die Gleichstellung aller Versicherten. In den meisten Fällen kann die Situation der versicherten Person durch die Anwendung der Höchstbeträge richtig abgebildet werden. Durch die ver- schiedenen Zusätze kann zudem der Besonderheit jedes Einzelfalls Rech- nung getragen werden. Allerdings gibt es Ausnahmen, in denen der Hilfe- bedarf aus medizinischen Gründen nachweislich über den festgelegten An- sätzen liegt. Diese Ausnahmefälle sind fast ausschliesslich in der Behand- lungspflege zu finden und können durch Angabe des zusätzlichen Hilfebe- darfs unter «Weitere Massnahmen» berücksichtigt werden. Grundsätzlich kann von den Höchstgrenzen nur abgewichen werden, wenn der Hilfebe- darf aus medizinischen Gründen erforderlich und höher ist (zum Beispiel mehr Interventionen nötig). Bei Unklarheiten ist der Regionale Ärztliche Dienst (RAD) beizuziehen (Rz. 5011 KSH).</w:t>
      </w:r>
    </w:p>
    <w:p>
      <w:r>
        <w:t>- 5 - 2.3. Verwaltungsweisungen richten sich an die Durchführungsstellen und sind für das Sozialversicherungsgericht nicht verbindlich. Dieses soll sie bei sei- ner Entscheidung aber berücksichtigen, sofern sie eine dem Einzelfall an- gepasste und gerecht werdende Auslegung der anwendbaren gesetzlichen Bestimmungen zulassen. Das Gericht weicht also nicht ohne triftigen Grund von Verwaltungsweisungen ab, wenn diese eine überzeugende Konkreti- sierung der rechtlichen Vorgaben darstellen. Insofern wird dem Bestreben der Verwaltung, durch interne Weisungen eine rechtsgleiche Gesetzesan- wendung zu gewährleisten, Rechnung getragen (BGE 133 V 587 E. 6.1 S. 591; 133 V 257 E. 3.2 S. 258 f. mit Hinweisen). 2.4. 2.4.1. Eine Revision der Renten, der Hilflosenentschädigung und des Assistenz- betrages wird von Amtes wegen durchgeführt, wenn sie im Hinblick auf eine mögliche erhebliche Änderung des Invaliditäts- oder Hilflosigkeitsgrades oder des invaliditätsbedingten Betreuungsaufwandes oder Hilfebedarf bei der Festsetzung der Rente, der Hilflosenentschädigung oder des Assis- tenzbeitrages auf einen bestimmten Termin in Aussicht genommen worden ist (Art. 87 Abs. 1 lit. a IVV). Zeitlichen Referenzpunkt für die Prüfung einer anspruchserheblichen Än- derung bildet die letzte (der versicherten Person eröffnete) rechtskräftige Verfügung, welche auf einer materiellen Prüfung des Anspruchs mit rechts- konformer Sachverhaltsabklärung, Beweiswürdigung und Durchführung ei- nes Einkommensvergleichs (bei Anhaltspunkten für eine Änderung in den erwerblichen Auswirkungen des Gesundheitszustands) beruht (BGE 133 V 108 E. 5 S. 110 ff.; 130 V 71 E. 3 S. 73 ff.). 2.4.2. Mit Verfügung vom 24. März 2021 anerkannte die Beschwerdegegnerin ei- nen Anspruch der Beschwerdeführerin auf eine Hilflosenentschädigung für Minderjährige wegen schwerer Hilflosigkeit und einen zusätzlichen Inten- sivpflegezuschlag für einen Betreuungsaufwand von vier Stunden. Die Be- schwerdeführerin sei seit Oktober 2019 in den Bereichen "An-/Auskleiden", "Aufstehen/Absitzen/Abliegen", "Essen", "Verrichten der Notdurft" und "Fortbewegung" sowie seit April 2020 im Bereich "Körperpflege" auf regel- mässige nicht altersgemässe Dritthilfe angewiesen. Es bestehe ein invali- ditätsbedingter Mehraufwand von vier Stunden und fünf Minuten pro Tag. Die Beschwerdegegnerin stellte dabei eine Revision des Anspruchs per 1. April 2024 in Aussicht (VB 203 S. 1).</w:t>
      </w:r>
    </w:p>
    <w:p>
      <w:r>
        <w:t>- 6 -</w:t>
      </w:r>
    </w:p>
    <w:p>
      <w:r>
        <w:rPr>
          <w:b/>
        </w:rPr>
        <w:t>E. 3.1</w:t>
      </w:r>
    </w:p>
    <w:p>
      <w:r>
        <w:t>Die Beschwerdegegnerin stützte sich in der angefochtenen Verfügung vom</w:t>
      </w:r>
    </w:p>
    <w:p>
      <w:r>
        <w:rPr>
          <w:b/>
        </w:rPr>
        <w:t>E. 3.2</w:t>
      </w:r>
    </w:p>
    <w:p>
      <w:r>
        <w:t>In ihrem Abklärungsbericht vom 13. Mai 2025 über die Abklärung an Ort und Stelle kam die Abklärungsperson zum Schluss, dass die Beschwerde- führerin in sämtlichen alltäglichen Lebensverrichtungen (vgl. E. 2.1.1. hier- vor) auf regelmässige Dritthilfe angewiesen sei (VB 533 S. 14; vgl. Stel- lungnahme vom 27. Juni 2025 in VB 551 S. 2). Dabei stellte sie bei der Le- bensverrichtung "An- und Auskleiden" unter Berücksichtigung eines Zu- satzaufwandes von fünf Minuten für häufigen Kleiderwechsel einen mass- geblichen Mehraufwand von 40 Minuten fest. Für die Lebensverrichtung "Aufstehen/Absitzen/Abliegen" ermittelte sie unter Berücksichtigung eines Zusatzaufwandes für Umlagerung in der Nacht einen Mehraufwand von 24 Minuten. Bei der Lebensverrichtung "Essen" bestehe unter Berücksich- tigung eines Zusatzaufwandes von zehn Minuten für das Zvieri ein mass- geblicher Mehraufwand von 60 Minuten. In Bezug auf die Lebensverrich- tung "Körperpflege" rechnete die Abklärungsperson mit täglichem Aufwand von gerundet sechs Minuten für das Baden und Duschen (inkl. Haare wa- schen) der Beschwerdeführerin, dies ergebe insgesamt einen massgebli- chen Mehraufwand von 36 Minuten für die Lebensverrichtung "Körper- pflege". Für die Lebensverrichtung "Verrichten der Notdurft" stellte sie ei- nen Zusatzaufwand von sechs Minuten für häufige Windelwechsel oder zu- sätzliche Begleitung zum WC und insgesamt einen massgeblichen Mehr- aufwand von 24 Minuten fest. Für die Behandlungspflege bestehe ein Mehraufwand von zehn Minuten für das An- und Ablegen von Hilfsmitteln zu therapeutischen Zwecken, ein Mehraufwand von 15 Minuten zur Medi- kamentenverabreichung, ein Mehraufwand von 21.43 Minuten für physio- und ergotherapeutische Übungen zu Hause sowie Atemtherapie und ein Mehraufwand von 11.75 Minuten für weitere Massnahmen. Schliesslich sei ein Mehraufwand von 17 Minuten für die Begleitung zu Arzt- und Therapie- besuchen anrechenbar. Bezüglich der Überwachungsbedürftigkeit sei keine besondere Überwachung gemäss IV-Gesetzgebung erforderlich. Ins- gesamt ergebe sich ein Mehraufwand von vier Stunden und 19 Minuten (VB 533 S. 4 ff.).</w:t>
      </w:r>
    </w:p>
    <w:p>
      <w:r>
        <w:rPr>
          <w:b/>
        </w:rPr>
        <w:t>E. 3.3</w:t>
      </w:r>
    </w:p>
    <w:p>
      <w:r>
        <w:t>In ihrer Stellungnahme vom 27. Juni 2025 hielt die Abklärungsperson im Wesentlichen an ihrer Beurteilung im Abklärungsbericht vom 13. Mai 2025 fest. Die Beschwerdeführerin sei ein mehrfachbehindertes Mädchen und verbringe den Tag mehrheitlich im Rollstuhl. Medizinisch seien seit der letz- ten Abklärung vom 25. Februar 2021 keine weiteren Diagnosen</w:t>
      </w:r>
    </w:p>
    <w:p>
      <w:r>
        <w:t>- 7 - hinzugekommen. Das Korsett und die Handschiene müsse die Beschwer- deführerin nicht mehr tragen. Da ihre linke Hand weich sei, könne auch die Botox-Therapie sistiert werden. Seit dem Epi-Anfall im Januar 2022 seien keine Anfälle mehr aufgetreten. Die Medikamente der Beschwerdeführerin seien gut eingestellt (VB 551 S. 2). 4. 4.1. Hinsichtlich des Beweiswertes eines Abklärungsberichtes ist wesentlich, dass er von einer qualifizierten Person verfasst wird, die Kenntnis der örtli- chen und räumlichen Verhältnisse sowie der aus den medizinischen Diag- nosen sich ergebenden Beeinträchtigungen und Behinderungen hat. Wei- ter sind die Angaben der versicherten Person zu berücksichtigen, wobei die divergierenden Meinungen der Beteiligten im Bericht aufzuzeigen sind. Der Berichtstext muss plausibel, begründet und angemessen detailliert bezüg- lich der einzelnen Einschränkungen sein sowie in Übereinstimmung mit den an Ort und Stelle erhobenen Angaben stehen. Das Gericht greift, sofern der Bericht eine zuverlässige Entscheidungsgrundlage im eben umschrie- benen Sinne darstellt, in das Ermessen der die Abklärung tätigenden Per- son nur ein, wenn klar feststellbare Fehleinschätzungen vorliegen. Das ge- bietet insbesondere der Umstand, dass die fachlich kompetente Abklä- rungsperson näher am konkreten Sachverhalt ist als das im Beschwerdefall zuständige Gericht (BGE 140 V 543 E. 3.2.1 S. 547; 133 V 450 E. 11.1.1 S. 468; Urteil des Bundesgerichts 8C_748/2019 vom 7. Januar 2020 mit Hinweisen). 4.2. Der gestützt auf die am 13. Mai 2025 an Ort und Stelle gewonnenen Er- kenntnisse verfasste Abklärungsbericht (VB 533) und die ergänzende Stel- lungnahme vom 27. Juni 2025 (VB 551) wurden durch eine qualifizierte Person erstellt. Die Abklärung erfolgt unter anderem in Anwesenheit der Mutter und des Stiefvaters der Beschwerdeführerin (vgl. VB 533 S. 1), und die Abklärungsperson verfasste ihre Beurteilung (auch) aufgrund deren An- gaben sowie in Kenntnis und unter Berücksichtigung der gesundheitlichen Situation der Beschwerdeführerin (vgl. VB 533 S. 2). Die Angaben im Be- richt und den ergänzenden Stellungnahmen erscheinen hinreichend detail- liert und nachvollziehbar. Der Abklärungsbericht einschliesslich der ergän- zenden Stellungnahme der Abklärungsperson genügt somit prinzipiell den erwähnten rechtsprechungsgemässen Vorgaben (vgl. E. 4.1. hiervor), wo- mit ihnen grundsätzlich Beweiswert zukommt. 5. 5.1. Die Beschwerdeführerin bringt zunächst vor, aufgrund ihres Oppositions- verhaltens bestehe ein Zusatzaufwand von zusätzlich zehn Minuten bei der Lebensverrichtung "An- und Auskleiden" sowie von zusätzlich je</w:t>
      </w:r>
    </w:p>
    <w:p>
      <w:r>
        <w:t>- 8 - 20 Minuten bei den Lebensverrichtungen "Körperpflege" und "Verrichtung der Notdurft" pro Tag (Beschwerde S. 6 Ziff. 7). Die Beschwerdeführerin bringt weiter vor, die Beschwerdegegnerin habe bei der Lebensverrichtung "Aufstehen/Absitzen/Abliegen" die Transfers in und aus dem Auto sowie die Positionswechsel fälschlicherweise nicht angerechnet. Zudem müsse gemäss Anhang 3 KSH ein Zusatzaufwand von 15 Minuten für Kinder, die im Rollstuhl seien oder fixiert werden müssten, angerechnet werden. Dies begründe insgesamt ein Mehraufwand von 70 Minuten pro Tag (Be- schwerde S. 6 Ziff. 8). Hinsichtlich der Lebensverrichtungen "Essen", "Kör- perpflege", "Verrichten der Notdurft" und "Behandlungspflege" rügt die Be- schwerdeführerin, die Beschwerdegegnerin habe sich nicht oder nur unge- nügend mit den in ihrem Einwand vom 11. Juni 2025 konkret geltend ge- machten Mehraufwänden auseinandergesetzt (Beschwerde S. 7 f. Ziff. 9 ff.). Schliesslich bringt die Beschwerdeführerin vor, sie könne auf- grund ihrer Mehrfachbehinderung nicht allein gelassen werden, da sie Ge- fahren nicht einschätzen könne und einer dauernden und persönlichen Überwachung bedürfe (Beschwerde S. 8 Ziff. 12). 5.2. In ihrer Stellungnahme vom 27. Juni 2025 begründete die Abklärungsper- son den nicht angerechneten Mehraufwand aufgrund eines Oppositions- verhaltens mehrfach damit, das medizinisch bei der Beschwerdeführerin keine Diagnosen ausgewiesen seien, welche auf ein erethisches oder au- tistisches Verhalten hinweisen würden (vgl. VB 551 S. 2). Diese Begrün- dung ist nachvollziehbar. Nach Art. 39 Abs. 2 erster Satz IVV ist als Betreu- ung der Mehrbedarf an Behandlungs- und Grundpflege im Vergleich zu nicht behinderten Minderjährigen gleichen Alters anrechenbar. In Rz. 5002 KSH werden die Voraussetzungen für den Anspruch auf einen Intensivpfle- gezuschlag präzisiert. Demnach muss der Betreuungsaufwand wegen der gesundheitlichen Beeinträchtigung notwendig sein. Das Oppositionsverhal- ten der Beschwerdeführerin ist ausweislich der Akten nicht medizinisch be- dingt. Dies ist jedoch eine gesetzliche Voraussetzung (vgl. Art. 9 ATSG). Die Mutter erwähnte bei der Abklärung an Ort und Stelle, dass die Be- schwerdeführerin in der Vorpubertät sei und es bei der Compliance hapere (vgl. VB 533 S. 2). Dabei handelt es sich um eine altersübliche Erschei- nung, welche auch bei nicht behinderten Minderjährigen gleichen Alters auftreten kann, und nicht um ein medizinisch bedingtes Verhalten der Be- schwerdeführerin. Zudem ist nicht ersichtlich, inwiefern die von der Mutter der Beschwerdeführerin geltend gemachten Compliance-Probleme (vgl. VB 533 S. 2) einen bedeutenden Mehraufwand verursachen würden. Ein entsprechendes Oppositionsverhalten der Beschwerdeführerin wurde im Revisionsgesuch betreffend Erhöhung des Intensivpflegezuschlages vom 21. Oktober 2024 denn auch nicht erwähnt (vgl. VB 448). Zudem geht aus dem Schulbericht vom 8. November 2024, indem ebenfalls auf die not- wendige Hilfe bei den alltäglichen Lebensverrichtungen eingegangen wurde, kein Oppositionsverhalten der Beschwerdeführerin hervor</w:t>
      </w:r>
    </w:p>
    <w:p>
      <w:r>
        <w:t>- 9 - (vgl. VB 452 S. 2 f.). Die Beschwerdegegnerin hat folglich zu Recht keinen Mehraufwand für Oppositionsverhalten angerechnet. Eine Minderheit des Gerichts (§ 23 Abs. 2 Gerichtsorganisationsgesetz; SAR 155.200) ist dagegen der Auffassung, dass es für das Vorliegen einer medizinischen Diagnose als Voraussetzung für die Berücksichtigung des Oppositionsverhaltens der Beschwerdeführerin keine rechtliche Grundlage gibt, weshalb dieses in den entsprechenden Bereichen gemäss KSH zu berücksichtigen wäre, unabhängig davon, ob dieses Verhalten medizinisch bedingt ist oder nicht. Ohnehin würde die Beschwerdeführerin auch bei Anrechnung des von ihr geltend gemachten Zuschlages von insgesamt 50 Minuten für Oppositions- verhalten (vgl. E. 5.1. hiervor), die geforderten sechs Stunden Zusatzauf- wand des zweiten Grades des Intensivpflegezuschlages nicht erreichen (vgl. Rz. 5005 KSH). 5.3. Im Abklärungsbericht vom 13. Mai 2025 rechnete die Abklärungsperson für die Lebensverrichtung "Aufstehen/Absitzen/Abliegen" einen Mehraufwand von 18 Minuten sowie einen Zusatzaufwand von sechs Minuten für die Um- lagerung in der Nacht an (VB 533 S. 5). In ihrer Stellungnahme vom 27. Juni 2025 hielt die Abklärungsperson der Beschwerdegegnerin fest, dass die Beschwerdeführerin weder im Cargo Bike noch im Rollstuhl, wo sie eine halbliegende Position einnehme, und auch nicht im Spezialsitz be- stehend aus Rücken- und Seitenstützen beim Sandkasten angegurtet wer- den müsse. Um einer Spastik vorzubeugen, würden vor Anlegen der Or- thesen die Füsse ausgestrichen und massiert und die Arme durchbewegt. Dieser Mehraufwand werde bei der Behandlungspflege berücksichtigt. Eine hochgradige Spastizität sei medizinisch nicht ausgewiesen und sei weder beim An- und Auskleiden noch bei Verrichten der Notdurft erwähnt worden. Anlässlich der Abklärung vor Ort habe die Mutter die Beschwerde- führerin aus dem Cargo Bike in den Rollstuhl gesetzt. Die Mutter habe die Hilfe des Ehemannes abgelehnt mit der Begründung, sie könne dies mit eingeübten Griffen durchführen. Für die Transfers könnten die Eltern jeder- zeit ein Hilfsmittel beantragen. Beim Positionswechsel könnten die alltäg- lich notwendigen Transfers berücksichtigt werden. Transfers in und aus dem Auto könnten nicht angerechnet werden (VB 551 S. 2). Der Zusatz von 15 Minuten für Lagern, Fixieren im Bett, Rollstuhl, Stehbrett oder im Stuhl wird gemäss KSH nur gewährt, wenn dieses besonders aufwändig ist oder eine hochgradige Spastizität vorliegt (Anhang 3 KSH S. 125). Die Abklä- rungsperson stellte fest, dass die Mutter die Beschwerdeführerin allein und ohne Hilfe des Ehemannes aus dem Cargo Bike in den Rollstuhl setzen könne (vgl. VB 551 S. 2). Im medizinischen Bericht von Dres. med. C._____ und D._____, Fachärzte für Kinder- und Jugendmedizin, Kinder- spital I._____, vom 19. November 2019 wurde der Beschwerdeführerin u.a.</w:t>
      </w:r>
    </w:p>
    <w:p>
      <w:r>
        <w:t>- 10 - eine spastisch-dystone Bewegungsstörung diagnostiziert, welche in der Folge zunächst medikamentös behandelt wurde (VB 494 S. 12 und S. 21). Im Austrittsbericht vom 28. Dezember 2020 hielten Dr. med. E._____, Fachärztin für Kinder- und Jugendmedizin, und Dr. med. F._____, Assis- tenzärztin, Kinderspital I._____, fest, die Beschwerdeführerin habe beim Eintritt "Zeichen einer ausgeprägten, initial vor allem dystonen und zu- nächst weniger spastischen, cerebralen Bewegungsstörung" aufgewiesen. Im weiteren Verlauf habe die Beschwerdeführerin deutlich weniger Dysto- nien aufgewiesen und auch die Spastik sei besser kontrolliert gewesen, sodass die Medikation wieder reduziert werden konnte (VB 163 S. 9 und 11). Auch den zahlreichen weiteren medizinischen Berichten ist zu entneh- men, dass im weiteren Verlauf bei der Beschwerdeführerin mittels Medika- tion und therapeutischer Behandlung eine Reduktion der Spastik am gan- zen Körper erreicht werden konnte (vgl. etwa medizinischer Bericht von Dr. med. E._____ vom 8. August 2023 in VB 386 S. 4; medizinische Stel- lungnahme von Dr. med. G._____, Facharzt für Orthopädische Chirurgie und Traumatologie des Bewegungsapparates, vom 21. März 2025 in VB 511 S. 5). Vor dem Hintergrund, dass bei der Beschwerdeführerin nie eine hochgradige Spastik diagnostiziert wurde und sich aus den Akten eine wesentliche Verbesserung der Spastik ergibt, ist die Feststellung der Ab- klärungsperson, wonach eine hochgradige Spastizität nicht ausgewiesen sei, nachvollziehbar. Damit sind die Voraussetzungen für die Anrechnung von zusätzlichen 15 Minuten nicht erfüllt. Gemäss Rz. 2032 KSH ist zudem die Hilfe Dritter beim Aufstehen von niedrigen Sitzflächen vom Boden oder beim Einsteigen in ein Auto nicht erheblich und alltäglich. Die Beschwerde- gegnerin hat folglich den geltend gemachten Mehraufwand für Transfers in und aus dem Auto zu Recht nicht berücksichtigt. 5.4. Entgegen den Vorbringen der Beschwerdeführerin (vgl. E. 5.1. hiervor), geht die Abklärungsperson in ihrer Stellungnahme vom 27. Juni 2025 ein- gehend auf die Einwände der Beschwerdeführerin ein. Soweit die Be- schwerdeführerin gleichwohl eine zu wenig konkrete Auseinandersetzung der Beschwerdegegnerin mit den vorgebrachten Einwänden rügt, ist darauf hinzuweisen, dass sich die Behörde rechtsprechungsgemäss nicht mit al- len Parteistandpunkten einlässlich auseinandersetzen und jedes einzelne Vorbringen ausdrücklich widerlegen muss; vielmehr genügt es, wenn der Entscheid gegebenenfalls sachgerecht angefochten werden kann (vgl. Ur- teil des Bundesgerichts 8C_696/2023 vom 27. September 2024 E. 4.2; BGE 148 III 30 E. 3.1 S. 35 mit Hinweisen). Vorliegend war es der Be- schwerdeführerin möglich, die Verfügung vom 7. Juli 2025 sachgerecht an- zufechten. Das KSH sieht einen allgemeinen Abzug von 75 Minuten/Tag für die Prä- senzzeit am Tisch vor, wenn die Mutter / der Vater nebenbei Essen kann (Anhang 3 KSH S. 126). In Bezug auf die Lebensverrichtung "Essen" zeigt</w:t>
      </w:r>
    </w:p>
    <w:p>
      <w:r>
        <w:t>- 11 - der Schulbericht vom 8. November 2024 auf, dass die Beschwerdeführerin mit dem Spezialbesteck und Spezialteller selbstständig essen könne (vgl. VB 452 S. 3). Die Feststellung der Abklärungsperson in ihrer Stellung- nahme vom 27. Juni 2025, wonach die Mutter nebenher esse könne (vgl. VB 452 S. 2 f.), ist daher nachvollziehbar. Es leuchtet ein, wenn die Abklärungsperson anstatt der maximalen 75 Minuten nur 50 Minuten Mehr- aufwand betreffend die Hauptmahlzeiten anrechnete. Die Abklärungsper- son legte auch nachvollziehbar dar, dass das Anbieten von Getränken oder die Aufforderung zum Trinken sowie das Verabreichen von Wasser mittels Spritze in den Mund keinen anrechenbaren Mehraufwand darstelle (vgl. VB 551 S. 3). Das KSH sieht einen solchen Mehraufwand im Übrigen auch nicht vor. Hinsichtlich der Lebensverrichtung "Körperpflege" machte die Beschwer- deführerin bereits in ihrem Einwand vom 11. Juni 2025 geltend, sie dusche zweimal wöchentlich und bade einmal wöchentlich. Bei letzterem benötige sie eine weitere Hilfsperson (VB 547 S. 3). Die Abklärungsperson begrün- detet demgegenüber den anrechenbaren Mehraufwand mit insgesamt zwei Dusch- / oder Badesequenzen pro Woche von jeweils 20 Minuten. Im Rah- men der Schadenminderungspflicht sei die Benutzung des Duschstuhls zu- mutbar (vgl. VB 551 S. 3). Soweit unterschiedliche Angaben betreffend der Anzahl Duscheinheiten pro Woche sowie die Notwendigkeit einer weiteren Hilfsperson vorliegen, greift das Gericht in das Ermessen der die Abklärung tätigenden Person nur ein, wenn klar feststellbare Fehleinschätzungen vor- liegen (vgl. E. 4.1. hiervor). Die Beschwerdeführerin machte erst im Ein- wandverfahren geltend, sie werde zweimal wöchentlich geduscht und ein- mal gebadet (vgl. VB 547 S. 3). Eine falsche Wiedergabe im Abklärungs- bericht 13. Mai 2025 wird hingegen nicht gerügt, weshalb nicht von einer klar feststellbaren Fehleinschätzung der Abklärungsperson auszugehen ist. Im Abklärungsbericht vom 13. Mai 2025 stellte die Abklärungsperson fest, die Beschwerdeführerin bedürfe zum "Verrichten der Notdurft" regelmässi- ger erheblicher Hilfe (VB 533 S. 8). In ihrer Stellungnahme vom 27. Juni 2025 erachtete die Abklärungsperson zudem ein Durchschnitt von achtmal Wickeln am Tag als anrechenbar (vgl. VB 551 S. 3). Trotzdem rechnete die Abklärungsperson insgesamt nur 24 Minuten Mehraufwand für diese Le- bensverrichtung an (vgl. VB 533 S. 8). Das KSH sieht für die Lebensver- richtung "Verrichten der Notdurft" für Kinder ab zehn Jahren jedoch einen anrechenbaren Mehraufwand von 50 Minuten vor. Zudem wird bei häufigen Windelwechsel von mehr als sechs Mal pro Tag ein Zusatz von fünf Minu- ten pro Mal angerechnet (vgl. KSH Anhang 3 S. 128). Die Abklärungsper- son begründet nicht, weshalb bei der Beschwerdeführerin von diesen Wer- ten abgewichen werden müsse. Unter Berücksichtigung eines Zusatzauf- wandes von 10 Minuten für häufigen Windelwechsel, ist der Beschwerde- führerin folglich insgesamt ein Mehraufwand von 60 Minuten (50 Minuten +</w:t>
      </w:r>
    </w:p>
    <w:p>
      <w:r>
        <w:t>- 12 - 2 x 5 Minuten für den siebten und achten Windelwechsel pro Tag) bei der Lebensverrichtung "Verrichten der Notdurft" anzurechnen. 5.5. Nach Rz. 5024 KSH ist insbesondere im Vergleich zu einem gleichaltrigen Kind eine deutlich erhöhte Überwachung ausgewiesen, wenn das Kind sich selbst oder Drittpersonen gefährdet. Dabei muss die Gefahrenlage und das damit verbundene erhöhte Überwachungsbedürfnis trotz getroffener Scha- densminderungsmassnahmen weiter bestehen. Und die persönliche Über- wachung muss eine gewisse Intensität aufweisen, die den Überwachungs- bedarf von gesunden Minderjährigen gleichen Alters übersteigt (vgl. Urteil des Bundesgerichts 9C_431/2008 vom 26. Februar 2009 E. 4.4.1). Sowohl aus dem Abklärungsbericht vom 13. Mai 2025 als auch aus dem korrigier- ten ambulanten Bericht Neuropädiatrie vom 19. November 2023 von Dr. med. H._____, Fachärztin für Kinder- und Jugendmedizin, lässt sich entnehmen, dass seit Januar 2022 keine epilepsieverdächtigen Anfälle mehr aufgetreten sind (vgl. VB 553 S. 12; 494 S. 8). In ihrer Stellungnahme vom 27. Juni 2025 legte die Abklärungsperson dar, dass die Beschwerde- führerin den Tag mehrheitlich im Rollstuhl verbringe, welchen sie mit der rechten Hand antreiben könne. Ihr Aktionsradius sei klein. Im Rahmen der Schadenminderungspflicht sei es den Eltern zumutbar, die Beschwerde- führerin bei einem Feuer nicht unbeaufsichtigt zu lassen, den Weg zur Strasse abzusperren und gefährliche Gegenstände wie Messer und Sche- ren ausser Reichweite zu legen. Die Abklärungsperson erachtete eine per- sönliche Überwachung im Sinne des IVGs als nicht ausgewiesen (VB 551 S. 3). Diese Einschätzung ist nachvollziehbar. So ist angesichts der einge- schränkten Mobilität der Beschwerdeführerin insbesondere keine Selbst- oder Fremdgefährdung ersichtlich. Ebenso ist die Voraussetzung der inten- siven dauernden Überwachung nicht erfüllt. Dafür muss sich die Betreu- ungsperson permanent in unmittelbarer Nähe aufhalten, da bereits eine kurze Unachtsamkeit mit überwiegender Wahrscheinlichkeit zu lebensbe- drohlichen Folgen oder zu einer massiven Schädigung von Personen und Gegenständen führen könnte. Aufgrund der geforderten 1:1-Überwachung kann sich die Betreuungsperson kaum anderer Aktivitäten widmen. Zudem müssen zum Schutz der versicherten Person und ihrer Umgebung bereits geeignete Massnahmen zur Schadenminderung getroffen worden sein (Rz. 5025 KSH). Eine solche Intensität der Überwachung ist aus den Akten nicht ersichtlich und wird im Übrigen auch nicht geltend gemacht. Im Rah- men der Schadenminderung ist es den Eltern zumutbar entsprechende Vorkehrungen zu treffen (vgl. BGE 141 V 642 E. 4.3.2. S. 648 mit Hinwei- sen). Auch die von der Beschwerdeführerin geltend gemachte ständige Be- reitschaft zur Intervention genügt rechtsprechungsgemäss nicht einer dau- ernden persönlichen Überwachung (vgl. Urteil des Bundesgerichts 8C_443/2024 vom 24. Juni 2025 E. 4.2). Schliesslich wurden die von Dr. med. H._____ (vgl. VB 494 S. 2) und im Schulbericht vom 8. November 2024 (vgl. VB 453 S. 2) vorgebrachten Einschränkungen bereits in den</w:t>
      </w:r>
    </w:p>
    <w:p>
      <w:r>
        <w:t>- 13 - alltäglichen Lebensverrichtungen, wie z.B. "Aufstehen/Absitzen/Abliegen" berücksichtigt und können entsprechend nicht erneut berücksichtigt wer- den (vgl. Urteil des Bundesgerichts 9C_491/2018 vom 8. Januar 2019 E. 5.2). Im Übrigen handelt es sich dabei um pauschale Aussagen, die sich nicht mit den besonderen Merkmalen der persönlichen dauernden Überwa- chung im Sinne des IVG bzw. des KSH auseinandersetzen. Sie vermögen keinen Zweifel an der Beurteilung der Abklärungsperson begründen. 5.6. Der anspruchsrelevante medizinische Sachverhalt erweist sich vorliegend als vollständig abgeklärt, weshalb auf weitere Abklärungen (vgl. Rechtsbe- gehren Ziff. 2) in antizipierter Beweiswürdigung zu verzichten ist (vgl. BGE 136 I 229 E. 5.2 S. 236; Urteil des Bundesgerichts 9C_262/2018 vom 22. August 2018 E. 4.1). In Anrechnung des gewährten Zusatzaufwan- des von 60 Minuten in der Lebensverrichtung "Verrichtung der Notdurft" (vgl. E. 5.4. hiervor), beträgt der gesamte Überwachungs- und Betreuungs- mehraufwand für die Beschwerdeführerin vier Stunden und 55 Minuten. Gemäss Rz. 5005 KSH wird der zweite Grad des Intensivpflegezuschlages gewährt, wenn der Zusatzaufwand mindestens sechs Stunden beträgt. Da die Beschwerdeführerin diesen nicht erreicht, bleibt es bei einem Intensiv- zuschlag von vier Stunden. 6. 6.1. Nach dem Dargelegten hat die Beschwerdegegnerin der Beschwerde- führerin zu Recht eine Hilflosenentschädigung wegen schwerer Hilflosigkeit sowie einen Intensivpflegezuschlag für einen Betreuungsaufwand von vier Stunden zugesprochen. Die Beschwerde ist daher abzuweisen. 6.2.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Beschwerdeführerin aufzuerlegen. 6.3. Der Beschwerdeführerin steht nach dem Ausgang des Verfahrens (Art. 61 lit. g ATSG) und der Beschwerdegegnerin aufgrund ihrer Stellung als Sozi- alversicherungsträgerin (BGE 126 V 143 E. 4 S. 149 ff.) kein Anspruch auf Parteientschädigung zu. Das Versicherungsgericht erkennt:</w:t>
      </w:r>
    </w:p>
    <w:p>
      <w:r>
        <w:t>- 14 - 1. Die Beschwerde wird abgewiesen. 2. Die Verfahrenskosten von Fr. 400.00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 März 2026 Versicherungsgericht des Kantons Aargau 3. Kammer Die Präsidentin: Der Gerichtsschreiber i.V.: Gössi Steiner</w:t>
      </w:r>
    </w:p>
    <w:p>
      <w:r>
        <w:rPr>
          <w:b/>
        </w:rPr>
        <w:t>E. 7</w:t>
      </w:r>
    </w:p>
    <w:p>
      <w:r>
        <w:t>Juli 2025 auf den Abklärungsbericht vom 13. Mai 2025 (VB 533) und die Stellungnahme der Abklärungsperson vom 27. Juni 2025 zu den Einwän- den der Beschwerdeführerin (VB 551).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