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AG_VERSICHERUNGSGERICHT VBE.2025.246 vom 4. Februar 2026</w:t>
      </w:r>
    </w:p>
    <w:p>
      <w:r>
        <w:t>Ag Versicherungsgericht, 2026-02-04, DE</w:t>
      </w:r>
    </w:p>
    <w:p>
      <w:r>
        <w:rPr>
          <w:b/>
        </w:rPr>
        <w:t xml:space="preserve">Quelle: </w:t>
      </w:r>
      <w:r>
        <w:t>https://mcp.opencaselaw.ch/entscheid/ag_versicherungsgericht_VBE.2025.246</w:t>
      </w:r>
    </w:p>
    <w:p>
      <w:r>
        <w:t>FR: AG_VERSICHERUNGSGERICHT VBE.2025.246 du 4 février 2026</w:t>
      </w:r>
    </w:p>
    <w:p>
      <w:r>
        <w:t>IT: AG_VERSICHERUNGSGERICHT VBE.2025.246 del 4 febbraio 2026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1975 geborene und zuletzt als Mitarbeiterin in einer Bäckerei tätig ge- wesene Beschwerdeführerin meldete sich am 4. Januar 2021 unter Hinweis auf Beeinträchtigungen an der Halswirbelsäule und Nackenschmerzen seit Februar 2018 bei der Beschwerdegegnerin zum Bezug von Leistungen (Berufliche Integration/Rente) der Eidgenössischen Invalidenversicherung (IV) an. In der Folge tätigte die Beschwerdegegnerin Abklärungen in beruf- licher und medizinischer Hinsicht und liess die Beschwerdeführerin poly- disziplinär durch die MEDAS Interlaken Unterseen GmbH begutachten (MEDAS-Gutachten vom 4. Juni 2023). Mit Vorbescheid vom 28. Juli 2023 stellte die Beschwerdegegnerin der Beschwerdeführerin die Abweisung des Leistungsbegehrens in Aussicht. Am 26. Juni 2024 stellte die Be- schwerdegegnerin den Gutachtern Ergänzungsfragen, welche diese mit Schreiben vom 8. August 2024 beantworteten. Daraufhin wies die Be- schwerdegegnerin mit Verfügung vom 21. März 2025 das Leistungsbegeh- ren der Beschwerdeführerin ab.</w:t>
      </w:r>
    </w:p>
    <w:p>
      <w:r>
        <w:rPr>
          <w:b/>
        </w:rPr>
        <w:t>E. 2</w:t>
      </w:r>
    </w:p>
    <w:p>
      <w:r>
        <w:t>Eventualiter sei die Sache zur ordnungsgemässen Abklärung des me- dizinischen Sachverhalts an die Beschwerdegegnerin zurückzuweisen.</w:t>
      </w:r>
    </w:p>
    <w:p>
      <w:r>
        <w:rPr>
          <w:b/>
        </w:rPr>
        <w:t>E. 2.1</w:t>
      </w:r>
    </w:p>
    <w:p>
      <w:r>
        <w:t>Mit der Eingabe vom 5. Juni 2025 stellte die Beschwerdeführerin folgende Rechtsbegehren: "1. Die Verfügung der Invalidenversicherung vom 21.03.2025 sei vollum- fänglich aufzuheben und der Beschwerdeführerin seien die gesetzlich geschuldeten Leistungen, insbesondere eine Rente der Invalidenver- sicherung, zuzusprechen.</w:t>
      </w:r>
    </w:p>
    <w:p>
      <w:r>
        <w:rPr>
          <w:b/>
        </w:rPr>
        <w:t>E. 2.2</w:t>
      </w:r>
    </w:p>
    <w:p>
      <w:r>
        <w:t>Mit Vernehmlassung vom 23. Juli 2025 beantragte die Beschwerdegegne- rin die Abweisung der Beschwerde.</w:t>
      </w:r>
    </w:p>
    <w:p>
      <w:r>
        <w:rPr>
          <w:b/>
        </w:rPr>
        <w:t>E. 2.3</w:t>
      </w:r>
    </w:p>
    <w:p>
      <w:r>
        <w:t>Mit instruktionsrichterlicher Verfügung vom 29. Juli 2025 wurde die berufli- che Vorsorgeeinrichtung der Beschwerdeführerin im Verfahren beigeladen und ihr Gelegenheit zur Stellungnahme eingeräumt. Diese liess sich in der Folge jedoch nicht vernehmen.</w:t>
      </w:r>
    </w:p>
    <w:p>
      <w:r>
        <w:t>- 3 - Das Versicherungsgericht zieht in Erwägung:</w:t>
      </w:r>
    </w:p>
    <w:p>
      <w:r>
        <w:rPr>
          <w:b/>
        </w:rPr>
        <w:t>E. 3</w:t>
      </w:r>
    </w:p>
    <w:p>
      <w:r>
        <w:t>Unter Kosten- und Entschädigungsfolgen zulasten der Beschwerde- gegnerin (zuzüglich Mehrwertsteuer und Auslagen)."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