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VBE.2025.107 vom 19. Januar 2026</w:t>
      </w:r>
    </w:p>
    <w:p>
      <w:r>
        <w:t>Ag Versicherungsgericht, 2026-01-19, DE</w:t>
      </w:r>
    </w:p>
    <w:p>
      <w:r>
        <w:rPr>
          <w:b/>
        </w:rPr>
        <w:t xml:space="preserve">Quelle: </w:t>
      </w:r>
      <w:r>
        <w:t>https://mcp.opencaselaw.ch/entscheid/ag_versicherungsgericht_VBE.2025.107</w:t>
      </w:r>
    </w:p>
    <w:p>
      <w:r>
        <w:t>FR: AG_VERSICHERUNGSGERICHT VBE.2025.107 du 19 janvier 2026</w:t>
      </w:r>
    </w:p>
    <w:p>
      <w:r>
        <w:t>IT: AG_VERSICHERUNGSGERICHT VBE.2025.107 del 19 gennaio 2026</w:t>
      </w:r>
    </w:p>
    <w:p>
      <w:pPr>
        <w:pStyle w:val="Heading2"/>
      </w:pPr>
      <w:r>
        <w:t>Erwägungen</w:t>
      </w:r>
    </w:p>
    <w:p>
      <w:r>
        <w:rPr>
          <w:b/>
        </w:rPr>
        <w:t>E. 26</w:t>
      </w:r>
    </w:p>
    <w:p>
      <w:r>
        <w:t>September 2025 S. 3 f.). 6. Somit ist der Invaliditätsgrad der Beschwerdeführerin ab 1. Dezember 2020 (6 Monate nach Anmeldedatum vom 17. Juni 2020 [Art. 29 Abs. 1 IVG]) neu zu bemessen. 6.1. In Bezug auf die Bemessung des Invaliditätsgrades führte die Beschwer- degegnerin aus, der Beschwerdeführerin sei eine überwiegend administra- tive Tätigkeit zu 70 % zumutbar. Da dies der Tätigkeit entspreche, welche die Beschwerdeführerin bisher ausgeübt habe, entspreche die Einschrän- kung von 30 % dem Invaliditätsgrad und es bestehe daher kein Anspruch auf Rentenleistungen (VB 179 S. 1). Die Beschwerdeführerin führt dagegen aus, es dürfe vorliegend kein Prozentvergleich erstellt werden. Für das Va- lideneinkommen sei ein Einkommen von mindestens Fr. 114'086.00 einzu- setzen, welches dem bisherigen Einkommen bei der E._____ entspreche. Als Invalideneinkommen sei auf den Lohn bei ihrem aktuellen Arbeitgeber abzustellen, welcher Fr. 15'215.40 im Pensum von 20 % betrage. Daraus</w:t>
      </w:r>
    </w:p>
    <w:p>
      <w:r>
        <w:t>- 12 - resultiere ein Invaliditätsgrad von 87 %. Selbst bei einer angenommenen medizinisch theoretischen Restarbeitsfähigkeit von 70 % resultiere ein In- validitätsgrad von mindestens 53 % (Beschwerde S. 16 ff.). 6.2.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(BGE 130 V 343 E. 3.4 S. 348 f.; 128 V 29 E. 1 S. 30; 104 V 135 E. 2a und b S. 136 f.). Ein Einkommensvergleich kann sich jedoch erübrigen, wenn die versicherte Person in der angestammten Tätigkeit weiterhin ein- geschränkt arbeitsfähig ist und daher für das Validen- und das Invaliden- einkommen dieselbe Bemessungsgrundlage herangezogen werden darf (Urteil des Bundesgerichts 8C_534/2023 vom 29. Februar 2024 E. 6 mit Hinweis auf BGE 114 V 310 E. 3a S. 313). 6.3. 6.3.1. Den Akten ist zu entnehmen, dass die Beschwerdeführerin bis September 2019 als Senior Biomarker Sample Coordinator tätig gewesen war (vgl. VB 61 S. 6.). In dieser Tätigkeit hat die Beschwerdeführerin gemäss ihren Angaben während der Erkrankung im Jahr 2019 die Kündigung erhal- ten (VB 101 S. 1). Bei der letzten Arbeitsstelle der Beschwerdeführerin han- delte es sich gemäss dem Stellenbeschrieb um eine Tätigkeit, in welcher der Jobinhaber idealerweise einen Bachelor in Life Sciences besitzt sowie fliessendes Englisch und Schweizerdeutsch, Schriftdeutsch und Franzö- sisch als Sprachen beherrscht. Zudem werden unter anderem die Fähigkeit vorausgesetzt, gute Kenntnisse über die Medikamentenentwicklung sowie den Prozess von klinischen Studien zu haben, parallel mit mehreren Teams arbeiten zu können, Beispieldaten zu analysieren und abzugleichen sowie starke Prozessmanagement-, Problemlösungs- und Kommunikationsfähig- keiten zu haben. In dieser Tätigkeit bestanden keine Führungsaufgaben (vgl. VB 14.3). Wie sowohl dem Gutachten der BEGAZ vom 30. Oktober 2023 (VB 151 S. 279) als auch der im Gerichtsverfahren ergänzend einge- holten Beurteilung der Gutachter vom 26. September 2025 zu entnehmen ist, darf die bisherige Tätigkeit bei E._____ als nahezu ideal adaptiert an- gesehen werden, womit ihr diese Tätigkeit weiterhin zumutbar ist (vgl. Urteil</w:t>
      </w:r>
    </w:p>
    <w:p>
      <w:r>
        <w:t>- 13 - des Bundesgerichts 9C_22/2014 vom 18. Februar 2014 E. 3.). Da somit sowohl für das Validen- als auch das Invalideneinkommen auf dieselbe Be- messungsgrundlage abgestützt werden kann, hat die Beschwerdegegnerin in ihrer Verfügung vom 3. Februar 2025 (VB 179) zu Recht die gutachterli- che Einschätzung zur Arbeitsfähigkeit dem Invaliditätsgrad gleichgesetzt (Prozentvergleich; vgl. E. 6.2 hiervor). 6.3.2. Für den Zeitpunkt des frühestmöglichen Rentenbeginns im Dezember 2020 (vgl. E. 6 hiervor) beträgt der Invaliditätsgrad gestützt auf die ergänzende Stellungnahme der Gutachter der BEGAZ vom 26. September 2025 jedoch entgegen den Ausführungen der Beschwerdegegnerin in ihrer Verfügung vom 3. Februar 2025 (VB 179) 50 % (vgl. E. 5.8 hiervor) und es ist erst ab dem Zeitpunkt der Verbesserung der gesundheitlichen Situation (Oktober 2021, vgl. E. 5.8. hiervor, mit Wirkung ab 1. Januar 2022 [Art. 88a Abs. 1 IVV]) von einem – wie bereits durch die Beschwerdegegnerin verfügten und nicht mehr rentenbegründenden – Invaliditätsgrad von 30 % auszugehen. 6.4. Zusammenfassend hat die Beschwerdeführerin somit für den Zeitraum vom 1. Dezember 2020 bis am 31. Dezember 2021 Anspruch auf eine halbe Invalidenrente bei einem Invaliditätsgrad von 50 %. Im Übrigen besteht kein Rentenanspruch, da kein rentenbegründender Invaliditätsgrad von 40 % vorliegt (vgl. Art. 28 Abs. 1 lit. c IVG). 7. 7.1. Nach dem Dargelegten ist die Beschwerde in dem Sinne gutzuheissen, dass die angefochtene Verfügung vom 3. Februar 2025 dahingehend ab- zuändern ist, als dass die Beschwerdeführerin von 1. Dezember 2020 bis</w:t>
      </w:r>
    </w:p>
    <w:p>
      <w:r>
        <w:rPr>
          <w:b/>
        </w:rPr>
        <w:t>E. 31</w:t>
      </w:r>
    </w:p>
    <w:p>
      <w:r>
        <w:t>Dezember 2021 Anspruch auf eine halbe Invalidenrente hat. Im Übrigen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7.3. Rechtsprechungsgemäss können die Kosten eines Gerichtsgutachtens oder medizinischen Abklärungen der Verwaltung auferlegt werden, sofern ein Zusammenhang besteht zwischen dem Untersuchungsmangel seitens der Verwaltung und der Notwendigkeit, weitere Abklärungen anzuordnen. Dies ist unter anderem dann zu bejahen, wenn die Verwaltung auf ein</w:t>
      </w:r>
    </w:p>
    <w:p>
      <w:r>
        <w:t>- 14 - Gutachten abgestellt hat, welches die Anforderungen an eine medizinische Beurteilungsgrundlage nicht (vollständig) erfüllt (vgl. BGE 143 V 269 E. 6.2.1 S. 279 f. mit Hinweisen). Dies trifft vorliegend, wie in der instrukti- onsrichterlichen Verfügung vom 1. September 2025 dargelegt, zu. Die Kos- ten der ergänzenden Stellungnahme der Gutachter der BEGAZ vom 26. September 2025 in Höhe von Fr. 1'050.00 sind daher der Beschwerde- gegnerin aufzuerlegen. 7.4. Ausgangsgemäss hat die Beschwerdeführerin Anspruch auf Ersatz ihrer richterlich festzusetzenden Parteikosten (Art. 61 lit. g ATSG). Das Versicherungsgericht erkennt: 1. In teilweiser Gutheissung der Beschwerde wird die Verfügung der Be- schwerdegegnerin vom 3. Februar 2025 dahingehend abgeändert, dass die Beschwerdeführerin vom 1. Dezember 2020 bis 31. Dezember 2021 Anspruch auf eine halbe Invalidenrente hat. Im Übrigen wird die Be- schwerde abgewiesen. 2. Die Verfahrenskosten von Fr. 800.00 werden der Beschwerdegegnerin auf- erlegt. 3. Die Kosten der ergänzenden Stellungnahme der BEGAZ vom 26. Septem- ber 2025 in Höhe von Fr. 1'050.00 werden der Beschwerdegegnerin aufer- legt. 4.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- 15 -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Januar 2026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