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VBE.2024.91 vom 29. August 2024</w:t>
      </w:r>
    </w:p>
    <w:p>
      <w:r>
        <w:t>Ag Versicherungsgericht, 2024-08-29, DE</w:t>
      </w:r>
    </w:p>
    <w:p>
      <w:r>
        <w:rPr>
          <w:b/>
        </w:rPr>
        <w:t xml:space="preserve">Quelle: </w:t>
      </w:r>
      <w:r>
        <w:t>https://mcp.opencaselaw.ch/entscheid/ag_versicherungsgericht_VBE.2024.91</w:t>
      </w:r>
    </w:p>
    <w:p>
      <w:r>
        <w:t>FR: AG_VERSICHERUNGSGERICHT VBE.2024.91 du 29 août 2024</w:t>
      </w:r>
    </w:p>
    <w:p>
      <w:r>
        <w:t>IT: AG_VERSICHERUNGSGERICHT VBE.2024.91 del 29 agosto 2024</w:t>
      </w:r>
    </w:p>
    <w:p>
      <w:pPr>
        <w:pStyle w:val="Heading2"/>
      </w:pPr>
      <w:r>
        <w:t>Erwägungen</w:t>
      </w:r>
    </w:p>
    <w:p>
      <w:r>
        <w:rPr>
          <w:b/>
        </w:rPr>
        <w:t>E. 4</w:t>
      </w:r>
    </w:p>
    <w:p>
      <w:r>
        <w:t>Die Beschwerdeführerin hat sich am 15. Januar 2020 zum Leistungsbezug angemeldet (vgl. VB 1). Damit konnte ein allfälliger Rentenanspruch – unter Ausserachtlassung des Bezugs eines IV-Taggeldes im Rahmen beruflicher Massnahmen vom 21. September bis 31. Dezember 2020 und im Januar 2021 (vgl. die entsprechenden Verfügungen der Beschwerdegegnerin vom 21. September 2020 in VB 53 und vom 4. Januar 2021 in VB 73) – jedenfalls nicht früher als im Juli 2020 entstehen (Art. 29 Abs. 1 IVG). Zu diesem Zeitpunkt und bis zum Erlass der angefochtenen Verfügung vom 10. Januar 2024 bestand eine Arbeitsfähigkeit von 80 % in der zuletzt aus- geübten Tätigkeit. Dass daraus kein rentenbegründender Invaliditätsgrad von 40 % oder mehr resultiert, wie dies die Beschwerdegegnerin in ihrer Verfügung (implizit) angenommen hat, wird von der rechtskundig vertre- tenen Beschwerdeführerin nicht in Frage gestellt und ist ausweislich der Akten auch nicht zu beanstanden.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t>- 8 -</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29. August 2024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