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AG_VERSICHERUNGSGERICHT VBE.2024.82 vom 25. Juni 2024</w:t>
      </w:r>
    </w:p>
    <w:p>
      <w:r>
        <w:t>Ag Versicherungsgericht, 2024-06-25, DE</w:t>
      </w:r>
    </w:p>
    <w:p>
      <w:r>
        <w:rPr>
          <w:b/>
        </w:rPr>
        <w:t xml:space="preserve">Quelle: </w:t>
      </w:r>
      <w:r>
        <w:t>https://mcp.opencaselaw.ch/entscheid/ag_versicherungsgericht_VBE.2024.82</w:t>
      </w:r>
    </w:p>
    <w:p>
      <w:r>
        <w:t>FR: AG_VERSICHERUNGSGERICHT VBE.2024.82 du 25 juin 2024</w:t>
      </w:r>
    </w:p>
    <w:p>
      <w:r>
        <w:t>IT: AG_VERSICHERUNGSGERICHT VBE.2024.82 del 25 giugno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Unter Kosten- und Entschädigungsfolgen." 2.2. Mit Vernehmlassung vom 26. Februar 2024 beantragte die Beschwerde- gegnerin die Abweisung der Beschwerde. 2.3. Mit instruktionsrichterlicher Verfügung vom 29. Februar 2024 wurde die be- rufliche Vorsorgeeinrichtung der Beschwerdeführerin zum Verfahren bei- geladen und ihr Gelegenheit zur Stellungnahme eingeräumt. Diese liess sich innert Frist nicht vernehmen.</w:t>
      </w:r>
    </w:p>
    <w:p>
      <w:r>
        <w:t>- 3 - 2.4. Mit Verfügung vom 4. März 2024 bewilligte der Instruktionsrichter der Be- schwerdeführerin die unentgeltliche Rechtspflege und ernannte lic. iur. Markus Zimmermann, Rechtsanwalt, Baden, zu deren unentgeltlichem Vertreter. Das Versicherungsgericht zieht in Erwägung: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