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VBE.2024.78 vom 18. April 2024</w:t>
      </w:r>
    </w:p>
    <w:p>
      <w:r>
        <w:t>Ag Versicherungsgericht, 2024-04-18, DE</w:t>
      </w:r>
    </w:p>
    <w:p>
      <w:r>
        <w:rPr>
          <w:b/>
        </w:rPr>
        <w:t xml:space="preserve">Quelle: </w:t>
      </w:r>
      <w:r>
        <w:t>https://mcp.opencaselaw.ch/entscheid/ag_versicherungsgericht_VBE.2024.78</w:t>
      </w:r>
    </w:p>
    <w:p>
      <w:r>
        <w:t>FR: AG_VERSICHERUNGSGERICHT VBE.2024.78 du 18 avril 2024</w:t>
      </w:r>
    </w:p>
    <w:p>
      <w:r>
        <w:t>IT: AG_VERSICHERUNGSGERICHT VBE.2024.78 del 18 aprile 2024</w:t>
      </w:r>
    </w:p>
    <w:p>
      <w:pPr>
        <w:pStyle w:val="Heading2"/>
      </w:pPr>
      <w:r>
        <w:t>Volltext</w:t>
      </w:r>
    </w:p>
    <w:p>
      <w:r>
        <w:t>Versicherungsgericht 4. Kammer VBE.2024.78 / sb / ks Art. 49 Urteil vom 18. April 2024 Besetzung Oberrichter Roth, Präsident Oberrichter Kathriner Oberrichterin Jacober Gerichtsschreiber Berner Beschwerde- A._____ führerin vertreten durch Bettina Umhang, Rechtsanwältin, Waltersbachstrasse 5, Postfach, 8021 Zürich 1 Beschwerde- Allianz Suisse Versicherungs-Gesellschaft AG, Richtigplatz 1, gegnerin 8304 Wallisellen Zustelladresse: Postfach, 8010 Zürich Gegenstand Beschwerdeverfahren betreffend UVG (Einspracheentscheid vom 18. Dezember 2023)</w:t>
      </w:r>
    </w:p>
    <w:p>
      <w:r>
        <w:t>- 2 - Das Versicherungsgericht entnimmt den Akten: 1. Die 1980 geborene Beschwerdeführerin war seit dem 1. Juli 2001 bei der B._____ AG als Verkäuferin angestellt und in dieser Eigenschaft bei der Beschwerdegegnerin obligatorisch gegen die Folgen von Berufsunfällen, Nichtberufsunfällen und Berufskrankheiten versichert. Am 20. November 2020 verletzte sie sich nach eigenen Angaben beim Sport am rechten Handgelenk. Die Beschwerdegegnerin anerkannte ihre Leistungspflicht für die Folgen dieses Ereignisses und richtete die gesetzlichen Leistungen (Heilbehandlung und Taggeld) aus. Nach weiteren medizinischen Abklä- rungen schloss sie den Fall mit Verfügung vom 9. September 2022 ab und stellte ihre Leistungen gestützt auf eine Stellungnahme ihres beratenden Arztes Dr. med. C._____, Facharzt für Chirurgie sowie für Handchirurgie, mangels natürlicher Kausalität des Unfalls für die (noch) geklagten Be- schwerden per 21. Januar 2021 ein. Daran hielt sie mit Einspracheent- scheid vom 18. Dezember 2023 fest. 2. 2.1. Gegen diesen Entscheid erhob die Beschwerdeführerin am 31. Januar 2024 fristgerecht Beschwerde und stellte folgende Anträge: "1. Der Einspracheentscheid vom 18.12.2023 sei aufzuheben, und der Be- schwerdeführerin / Versicherten seien die korrekten Leistungen aus UVG zuzusprechen und auszurichten. 2. Eventualiter sei die Angelegenheit an die Beschwerdegegnerin […] zu- rückzuweisen, damit diese korrekt abkläre (Untersuchungsmaxime), ins- besondere ein verwaltungsexternes Gutachten durchführe. 3. Unter Kosten- und Entschädigungsfolgen zu Lasten der Beschwerdegeg- nerin." 2.2. Mit Vernehmlassung vom 23. Februar 2024 beantragte die Beschwerde- gegnerin die Abweisung der Beschwerde. Das Versicherungsgericht zieht in Erwägung: 1. Die Beschwerdegegnerin ging in ihrem Einspracheentscheid vom 18. De- zember 2023 (Vernehmlassungsbeilage [VB] 106; vgl. auch die Verfügung der Beschwerdegegnerin vom 9. September 2022 in VB 87) gestützt auf</w:t>
      </w:r>
    </w:p>
    <w:p>
      <w:r>
        <w:t>- 3 - eine Beurteilung ihres beratenden Arztes Dr. med. C._____ vom 5. August 2022 (VB 82) im Wesentlichen davon aus, dass zwischen den von der Be- schwerdeführerin noch geklagten Beschwerden und dem Ereignis vom 20. November 2020 kein natürlicher Kausalzusammenhang (mehr) gege- ben sei. Eine (weitere) Leistungspflicht ihrerseits über den 21. Januar 2021 hinaus bestehe nicht. Die Beschwerdeführerin macht demgegenüber zu- sammengefasst geltend, auf die Beurteilung von Dr. med. C._____ könne nicht abgestellt werden. Vielmehr seien auch die über den 21. Januar 2021 hinaus persistierenden Beschwerden auf das Ereignis vom 20. November 2020 zurückzuführen. Die Beschwerdegegnerin sei daher (weiterhin) leis- tungspflichtig. Damit ist streitig und nachfolgend zu prüfen, ob die Beschwerdegegnerin ihre Leistungen im Zusammenhang mit dem Unfall vom 20. November 2020 mit Einspracheentscheid vom 18. Dezember 2023 zu Recht per 21. Januar 2021 eingestellt hat. 2. 2.1.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2.2. 2.2.1.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w:t>
      </w:r>
    </w:p>
    <w:p>
      <w:r>
        <w:t>- 4 - 2.2.2.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 2.2.3.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Beweisgrad der überwiegenden Wahrscheinlichkeit nachgewiesen sein. Die blosse Mög- 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 grundsätze gelten sowohl im Grundfall als auch bei Rückfällen und Spät- folgen und sind für sämtliche Leistungsarten massgebend. Diese Recht- sprechung beschlägt dabei einzig die rechtlichen Folgen der Abklärung, in- sofern als dem Unfallversicherer die Beweislast zugewiesen wird für den Fall, dass ungeklärt bleibt, ob dem Unfall (noch) eine kausale Bedeutung für den andauernden Gesundheitsschaden zukommt. Bevor sich aber</w:t>
      </w:r>
    </w:p>
    <w:p>
      <w:r>
        <w:t>- 5 - überhaupt die Frage der Beweislast stellt, ist der Sachverhalt im Rahmen des Untersuchungsgrundsatzes richtig und vollständig zu klären (SVR 2009 UV Nr. 3 S. 9, 8C_354/2007 E. 2.2 mit Hinweisen). 2.3. 2.3.1.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2.3.2.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w:t>
      </w:r>
    </w:p>
    <w:p>
      <w:r>
        <w:t>- 6 - 3. 3.1. 3.1.1. Bezüglich des Ereignisses vom 20. November 2020 ist den Akten im We- sentlichen zu entnehmen, dass die Beschwerdeführerin beim Training auf einem sogenannten Stairmaster (ein einem Laufband ähnelndes Treppen- Fitnessgerät) an einer Stufe hängen geblieben, dabei gestolpert und in der Folge zu weit nach unten gerutscht sei. Sie habe dann den Halt verloren, sei dabei mit der rechten Hand vom Geländer des Geräts abgerutscht und habe sich dabei das rechte Handgelenk verdreht (vgl. die Unfallmeldung vom 30. Juni 2021 in VB 4 sowie die ergänzenden Angaben der Beschwer- deführerin vom 8. August 2021 in VB 13). Im Anschluss sei gemäss Bericht von Prof. Dr. med. D._____, Facharzt für Orthopädische Chirurgie und Traumatologie des Bewegungsapparates sowie für Handchirurgie, und Dr. med. E._____, Facharzt für Kinderchirurgie sowie für Handchirurgie, Universitätsklinik F._____, vom 24. Dezember 2021 erst die Diagnose ei- ner ECU-Sehnenscheidenentzündung und bei Beschwerdepersistenz trotz konservativer Behandlung (vgl. hierzu insb. die Angaben der Beschwerde- führerin vom 8. August 2021 in VB 13) schliesslich die Diagnose einer Teilruptur der ECU-Sehne gestellt worden. Nach einer operativen Behand- lung sei es zu einem Infekt mit Pseudomonas mit mehrfacher chirurgischer Revision und antibiotischer Behandlung gekommen (VB 37; vgl. zum Gan- zen ferner den Bericht von Dr. med. G._____, Fachärztin für Radiologie, vom 22. Januar 2021 über eine MRI-Untersuchung des rechten Handge- lenks gleichen Datums in VB 2, den Bericht der erstbehandelnden Hand- chirurgin Dr. med. H._____, Fachärztin für Chirurgie sowie für Handchirur- gie, vom 21. Januar 2021 in VB 1, den Bericht des Hausarztes Dr. med. I._____, Facharzt für Allgemeine Innere Medizin, vom 6. Juli 2021 in VB 8, den Bericht von Dr. med. J._____, Fachärztin für Radiologie, vom 7. Sep- tember 2021 über eine MRI-Untersuchung des rechten Handgelenks glei- chen Datums in VB 18, und die Berichte von Dr. med. K._____, Facharzt für Plastische, Rekonstruktive und Ästhetische Chirurgie sowie für Hand- chirurgie, vom 17. September 2021 in VB 22 und vom 19. November 2021 in VB 34 inkl. Operationsberichte vom 28. Juli und 5. August 2021 in VB 11 f.). 3.1.2. Die zuletzt behandelnde Universitätsklinik F._____ etablierte eine medika- mentöse Therapie der Pseudomonas-Infektion sowie Ergotherapie (vgl. den Bericht Prof. Dr. med. D._____ vom 14. März 2022 in VB 59 inkl. Be- richt von Dr. med. L._____, Facharzt für Radiologie, vom 2. März über eine Röntgenuntersuchung des rechten Handgelenks gleichen Datums in VB 57, sowie den Bericht von Prof. Dr. med. D._____ und Dr. med. E._____ vom 16. Mai 2022 in VB 68 inkl. den Bericht von Dr. med. M._____, Facharzt für Radiologie, vom 4. Mai 2022 über eine CT-Untersu- chung des rechten Handgelenks gleichen Datums in VB 67). Am</w:t>
      </w:r>
    </w:p>
    <w:p>
      <w:r>
        <w:t>- 7 - 8. November 2022 hielten Prof. Dr. med. D._____ und Dr. med. O._____, Fachärztin für Handchirurgie, bei Diagnose eines ossären Defekts der dis- talen Ulna respektive des DRUG rechts nach chronischer Osteomyelitis schliesslich fest, angesichts der verstrichenen Zeit und des stationären ra- diologischen Befunds sei die Implantation einer Prothese nunmehr denk- bar. Die Beschwerdeführerin wünsche sich indes – auch gestützt auf eine von ihr eingeholte Zweitmeinung – ein abwartendes Vorgehen (VB 98). Mit Schreiben vom 20. Januar 2023 hielt Dr. med. O._____ ergänzend fest, Ur- sprung der Beschwerden sei ein Distorsionstrauma des rechten Handge- lenks vom 20. November 2020. Eine handchirurgische Beurteilung und ins- besondere eine MRI-Untersuchung sei erst nach zwei Monaten veranlasst worden. Zu diesem Zeitpunkt habe bereits eine Tendinopathie respektive Synovitis vorgelegen, wie sie auch bei überlastungsbedingten Beschwer- den auftreten könne. Die gleichzeitig dokumentierte Ruptur des Retina- culums im distalen Anteil sei indes durchaus vereinbar mit dem beschrie- ben Hergang des Ereignisses vom 20. November 2020. Der anschliessend komplizierte Verlauf mit Infekt und Folgeoperationen sei somit als Unfall- folge zu werten (VB 103). 3.2. Die Beschwerdegegnerin stützte sich in ihrem Einspracheentscheid vom 18. Dezember 2023 in medizinischer Hinsicht auf die versicherungsinterne Beurteilung von Dr. med. C._____ vom 5. August 2022. Dieser hielt zusam- mengefasst fest, das Ereignis vom 20. November 2020 mit leichter Distor- sion des rechten Handgelenks sei nicht geeignet, die bildgebend darge- stellte Läsion der ECU-Sehen zu verursachen. Es bestehe daher "hier mit überwiegender Wahrscheinlichkeit keine Unfallkausalität", zumal die Be- funde der MRI-Untersuchung vom 22. Januar 2021 mit Signalalteration der ECU-Sehne mit zystischen Veränderungen im Sinne einer Gefügestörung im Rahmen einer Tendinopathie geradezu typische Anzeichen für eine chronische Überbelastung seien, wie sie bei häufig durchgeführtem Fit- nesstraining in der handchirurgischen Praxis sehr häufig gesehen würden. Insgesamt seien sämtliche Befunde am rechten Handgelenk nicht auf das Ereignis vom 20. November 2020 zurückzuführen (VB 82, S. 6 f.). 3.3. Entgegen der Ansicht der Beschwerdegegnerin stellt die erwähnte versi- cherungsinterne medizinische Beurteilung von Dr. med. C._____ vom 5. August 2022 keine taugliche Grundlage zur Beurteilung der Unfallkausa- lität der (persistierenden) rechtsseitigen Handgelenksbeschwerden und folglich der (weiteren) Leistungsansprüche der Beschwerdeführerin dar. So hielt Dr. med. C._____ in seiner Stellungnahme fest, dass sämtliche Be- funde am rechten Handgelenk nicht auf das Ereignis vom 20. November 2020 zurückzuführen seien. Gleichzeitig ging er jedoch gestützt auf den Bericht der Universitätsklinik F._____ vom 16. Mai 2022 (VB 68) von einer unfallbedingten Arbeitsunfähigkeit der Beschwerdeführerin in ihrer</w:t>
      </w:r>
    </w:p>
    <w:p>
      <w:r>
        <w:t>- 8 - angestammten Tätigkeit aus und attestierte wegen der Handgelenksbe- schwerden eine Einschränkung der Arbeitsfähigkeit von 30 % (VB 82, S. 7). Diese beiden Aussagen stehen in einem unauflösbaren Widerspruch. Zu beachten ist ferner, dass der beratende Arzt der Beschwerdegegnerin Dr. med. N._____, Facharzt für Chirurgie, in seiner Stellungnahme vom 4. Januar 2022 – gestützt auf die identischen echtzeitlichen beziehungs- weise ereignisnahen medizinischen Akten wie Dr. med. C._____ – zum Schluss kam, es lägen keine klaren Hinweise "für relevante vorbestehende Schäden" vor, weshalb "das Beschwerdebild inkl. dem unglücklichen kom- plikationsbehafteten postoperativen Verlauf […] überwiegend wahrschein- lich unfallkausal auf das Ereignis vom 20.11.2020 zurückzuführen" sei (VB 40, S. 2). Zudem bejahte der behandelnde Facharzt der Universitäts- klinik F._____ eine Unfallkausalität der Befunde (VB 103). Mit dieser ab- weichenden Beurteilung des beratenden Arztes und mit der fachärztlichen Einschätzung der Universitätsklinik F._____ gemäss Bericht vom 20. Ja- nuar 2023 (VB 103) setzte sich Dr. med. C._____ indes nicht auseinander. 3.4. Bereits diese Umstände genügen, um an der von der Beschwerdegegnerin eingeholten versicherungsinternen Beurteilung von Dr. med. C._____ vom 5. August 2022 zumindest geringe Zweifel zu begründen, weshalb darauf nicht abgestellt werden kann (vgl. vorne E. 2.3.2.). Die sachverhaltlichen Abklärungen der Beschwerdegegnerin erweisen sich damit als unzu- reichend, weshalb eine Beurteilung des (weiteren) Leistungsanspruchs der Beschwerdeführerin im Zusammenhang mit dem Ereignis vom 20. Novem- ber 2020 aktuell nicht möglich ist. Die Beschwerdegegnerin wird folglich weitere medizinische Abklärungen in Form der Einholung eines verwal- tungsexternen Gutachtens im Verfahren nach Art. 44 ATSG zu tätigen ha- ben (vgl. BGE 135 V 465 E. 4 S. 467 ff. und Urteil des Bundesge- richts 8C_92/2018 vom 7. August 2018 E. 5.2.3), um alsdann ihre weitere Leistungspflicht erneut zu beurteilen. 4. 4.1. Nach dem Dargelegten ist die Beschwerde eventualantragsgemäss teil- weise gutzuheissen, der angefochtene Einspracheentscheid vom 18. De- zember 2023 aufzuheben sowie die Sache zur weiteren Abklärung und zur Neuverfügung an die Beschwerdegegnerin zurückzuweisen. 4.2. Das Verfahren ist kostenlos (Art. 61 lit. fbis ATSG). 4.3. Ausgangsgemäss hat die Beschwerdeführerin Anspruch auf Ersatz der richterlich festzusetzenden Parteikosten (Art. 61 lit. g ATSG), denn die Rückweisung der Sache an die Verwaltung zwecks Vornahme ergänzender</w:t>
      </w:r>
    </w:p>
    <w:p>
      <w:r>
        <w:t>- 9 - Abklärungen gilt als anspruchsbegründendes Obsiegen (BGE 132 V 215 E. 6.1 S. 235 mit Hinweisen). Das Versicherungsgericht erkennt: 1. In teilweiser Gutheissung der Beschwerde wird der Einspracheentscheid vom 18. Dezember 2023 aufgehoben und die Sache zur weiteren Abklä- rung im Sinne der Erwägungen und zur Neuverfügung an die Beschwerde- gegnerin zurückgewiesen. 2. Es werden keine Verfahrenskosten erhoben.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18. April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