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VBE.2024.573 vom 11. Juni 2025</w:t>
      </w:r>
    </w:p>
    <w:p>
      <w:r>
        <w:t>Ag Versicherungsgericht, 2025-06-11, DE</w:t>
      </w:r>
    </w:p>
    <w:p>
      <w:r>
        <w:rPr>
          <w:b/>
        </w:rPr>
        <w:t xml:space="preserve">Quelle: </w:t>
      </w:r>
      <w:r>
        <w:t>https://mcp.opencaselaw.ch/entscheid/ag_versicherungsgericht_VBE.2024.573</w:t>
      </w:r>
    </w:p>
    <w:p>
      <w:r>
        <w:t>FR: AG_VERSICHERUNGSGERICHT VBE.2024.573 du 11 juin 2025</w:t>
      </w:r>
    </w:p>
    <w:p>
      <w:r>
        <w:t>IT: AG_VERSICHERUNGSGERICHT VBE.2024.573 del 11 giugno 2025</w:t>
      </w:r>
    </w:p>
    <w:p>
      <w:pPr>
        <w:pStyle w:val="Heading2"/>
      </w:pPr>
      <w:r>
        <w:t>Erwägungen</w:t>
      </w:r>
    </w:p>
    <w:p>
      <w:r>
        <w:rPr>
          <w:b/>
        </w:rPr>
        <w:t>E. 2</w:t>
      </w:r>
    </w:p>
    <w:p>
      <w:r>
        <w:t>Eventualiter sei der Einspracheentscheid vom 5. November 2024 auf- zuheben und die Sache zur weiteren Abklärung sowie anschliessender Neubeurteilung der Integritätsentschädigung an die Beschwerdegeg- nerin zurückzuweisen.</w:t>
      </w:r>
    </w:p>
    <w:p>
      <w:r>
        <w:rPr>
          <w:b/>
        </w:rPr>
        <w:t>E. 2.1</w:t>
      </w:r>
    </w:p>
    <w:p>
      <w:r>
        <w:t>Gemäss Art. 24 UVG hat der Versicherte, der durch den Unfall eine dau- ernde erhebliche Schädigung der körperlichen, geistigen oder psychischen Integrität erleidet, Anspruch auf eine angemessene Integritätsentschädi- gung (Abs. 1). Die Entschädigung wird grundsätzlich mit der Invalidenrente festgesetzt, oder, falls kein Rentenanspruch besteht, bei der Beendigung der ärztlichen Behandlung gewährt (Abs. 2). Gemäss Art. 36 Abs. 1 UVV gilt ein Integritätsschaden als dauernd, wenn er voraussichtlich während des ganzen Lebens mindestens im gleichen Umfang besteht. Er ist erheb- lich, wenn die körperliche, geistige oder psychische Integrität, unabhängig von der Erwerbsfähigkeit, augenfällig oder stark beeinträchtigt wird (vgl. auch BGE 133 V 224 E. 2.2 S. 227 mit Hinweis auf BGE 124 V 29 und 124 V 209).</w:t>
      </w:r>
    </w:p>
    <w:p>
      <w:r>
        <w:rPr>
          <w:b/>
        </w:rPr>
        <w:t>E. 2.2</w:t>
      </w:r>
    </w:p>
    <w:p>
      <w:r>
        <w:t>Die Schätzung des Integritätsschadens ist eine ärztliche Aufgabe (vgl. PHILIPP PORTWICH, Die Integritätsentschädigung für psychische Un- fallfolgen nach dem schweizerischen Bundesgesetz über die Unfallversi- cherung: Grundlagen und Hinweise für die gutachterliche Praxis, SZS 53/2009 S. 344). Die Schwere des Integritätsschadens beurteilt sich ausschliesslich nach dem medizinischen Befund. Bei gleichem medizini- schen Befund ist der Integritätsschaden für alle Versicherten gleich; er wird abstrakt und egalitär bemessen (Urteil des Bundesgerichts 8C_415/2023 vom 3. Oktober 2024 E. 3 mit Hinweisen, zur Publikation vorgesehen; Urteil des Bundesgerichts 8C_478/2022 vom 30. Mai 2023 E. 6.1 mit Hinweisen).</w:t>
      </w:r>
    </w:p>
    <w:p>
      <w:r>
        <w:rPr>
          <w:b/>
        </w:rPr>
        <w:t>E. 3</w:t>
      </w:r>
    </w:p>
    <w:p>
      <w:r>
        <w:t>Unter Entschädigungsfolgen (zzgl. 8,1,% MWST) zu Lasten der Be- schwerdegegnerin."</w:t>
      </w:r>
    </w:p>
    <w:p>
      <w:r>
        <w:rPr>
          <w:b/>
        </w:rPr>
        <w:t>E. 3.1</w:t>
      </w:r>
    </w:p>
    <w:p>
      <w:r>
        <w:t>Zur Beurteilung des Integritätsschadens stützte sich die Beschwerdegeg- nerin in ihrem Einspracheentscheid vom 5. November 2024 (VB 67) im We- sentlichen auf die Aktenbeurteilungen ihres beratenden Arztes Dr. med. C._____, Facharzt für Orthopädische Chirurgie und Traumatologie des Be- wegungsapparates, vom 19. März 2022 (VB 23), 17. November 2023 (VB 50) und 20. September 2024 (VB 66). Dr. med. C._____ vermerkte als Diagnosen "Status n. operativ versorgter Tibiaplateaufraktur rechts" und "postoperative Peronaeusparese rechts" (vgl. VB 23 S. 1; vgl. auch VB 50 S. 2). Während er im ersten Bericht vom 19. März 2022 aufgrund der</w:t>
      </w:r>
    </w:p>
    <w:p>
      <w:r>
        <w:t>- 4 - Peronaeusparese (Suva-Tabelle 2) von einem Integritätsschaden von ak- tuell 10 % ausging (VB 23), schätzte er diesen im Bericht vom 17. Novem- ber 2023 aufgrund der elektrophysiologischen Werte auf 5 % ein (VB 50). Im Schreiben vom 20. September 2024 bestätigte er unter Berücksichti- gung der Berichte der behandelnden Ärzte, dass von einem Wert von 5 % auszugehen sei (VB 66).</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Berichte beratender Ärzte sind in beweis- mässiger Hinsicht denjenigen eines versicherungsinternen Arztes gleich- zusetzen (vgl. Urteil des Bundesgerichts 8C_281/2018 vom 25. Juni 2018 E. 3.2.2).</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3.3</w:t>
      </w:r>
    </w:p>
    <w:p>
      <w:r>
        <w:t>Die Beschwerdeführerin macht im Wesentlichen geltend, Dr. med. C._____ habe die ursprünglich provisorisch auf 10 % festgesetzte Integritätsent-</w:t>
      </w:r>
    </w:p>
    <w:p>
      <w:r>
        <w:t>- 5 - schädigung aufgrund der Verbesserung der elektrophysiologischen Werte auf 5 % reduziert. Seit der ersten Beurteilung sei unbestrittenermassen eine leichte Besserung der Parese bezüglich der Fuss- und Zehenheber eingetreten, die funktionelle Beeinträchtigung sei jedoch erheblich geblie- ben. Bei intensiver Belastung (längeres Gehen, Wanderung oder sportliche Aktivitäten) könne sie das Bein praktisch nicht mehr bewegen. Bereits wäh- rend der Belastung komme es nach kurzer Zeit zu einem Hinken und zu heftigen Schmerzen. Auch wenn sie keinen "Steppergang", welchen der Vertrauensarzt als Beispiel für eine 10%ige Integritätsentschädigung ge- nannt habe, aufweise, dürfe diese Gangstörung – unabhängig davon, dass sich diese nur in der Freizeit und nicht im Beruf manifestiere – nicht unbe- rücksichtigt bleiben. Die Funktionseinschränkung habe aufgrund der Akten- lage und der elektrophysiologischen Werte nicht ausreichend beurteilt wer- den können. Die funktionelle Beeinträchtigung sei für sie als junge und zu- vor sehr aktive Person nicht derart leicht, dass sich eine Abweichung von 50 % vom für den Regelfall vorgesehenen Prozentsatz von 10 % rechtfer- tigen liesse (vgl. Beschwerde S. 4 ff.).</w:t>
      </w:r>
    </w:p>
    <w:p>
      <w:r>
        <w:rPr>
          <w:b/>
        </w:rPr>
        <w:t>E. 3.4</w:t>
      </w:r>
    </w:p>
    <w:p>
      <w:r>
        <w:t>Die Aktenbeurteilungen des beratenden Arztes der Beschwerdegegnerin Dr. med. C._____ vom 19. März 2022 (VB 23), 17. November 2023 (VB 50) und 20. September 2024 (VB 66) sind in sich schlüssig und plau- sibel begründet. Die Akten beruhen auf verschiedenen persönlichen Unter- suchungen der Beschwerdeführerin sowie elektroneuromyographischen Abklärungen und ergeben ein vollständiges Bild betreffend den vorliegend relevanten medizinischen Sachverhalt (vgl. E. 3.2.3 hiervor). Insbesondere bezog sich Dr. med. C._____ im Schreiben vom 20. September 2024 ex- plizit auf die Berichte der behandelnden Ärzte sowie die darin beschriebene Verbesserung des Beschwerdebildes (regrediente Parese der Fuss- und Zehenheber; VB 34; 37; 47; 66) und erklärte nachvollziehbar, dass sich der Integritätsschaden von 10 % gemäss der Suva-Tabelle 2 (Revision 2000, Integritätsentschädigung gemäss UVG, Integritätsschaden bei Funktions- störungen an den unteren Extremitäten) auf eine vollständige Peronaeus- läsion beziehe und eine solche nicht vorliege, da die Beschwerdeführerin keinen Steppergang aufweise und auch keine Notwendigkeit des Tragens einer Peronaeusorthese gegeben sei (VB 66 S. 2). Dass die Beschwerde- führerin nach stärkeren Belastungen im Sinne einer Peronaeusparese ge- handicapt ist, war Dr. med. C._____ bekannt, womit davon ausgegangen werden darf, dass er diesen Umstand bei der Beurteilung der Funktionsein- schränkung berücksichtigt hat (vgl. VB 50 S. 4). Weiter wird die gestützt auf die klinischen und elektromyographischen Befunde in diversen Berichten der behandelnden Ärzte genannte Verbesserung (rückläufige Parese der Fuss- und Zehenheber; VB 34; 37; 47; 66) von der Beschwerdeführerin auch nicht bestritten, womit es nachvollziehbar erscheint, dass die Integri- tätseinbusse zwischenzeitlich unter den ursprünglich von Dr. med. Steil ge- nannten Wert von 10 %, welchen er damals (19. März 2022) explizit mit</w:t>
      </w:r>
    </w:p>
    <w:p>
      <w:r>
        <w:t>- 6 - aktuell vermerkt hat, gesunken ist. Zudem liegen auch keine den Integri- tätsschaden abweichend beurteilende fachärztliche Berichte vor und die ei- genen laienhaften (medizinischen) Würdigungen des Rechtsvertreters der Beschwerdeführerin (vgl. Beschwerde S. 4 f.) vermögen den Beweiswert der Feststellungen von Dr. med. C._____ ebenfalls nicht in Zweifel zu zie- hen (vgl. Urteil des Bundesgerichts 8C_672/2020 vom 15. April 2021 E. 4.3). Schliesslich ist auch zu berücksichtigen, dass bei der Festsetzung der Integritätsentschädigung das Prinzip der abstrakten und egalitären Be- messung gilt. Damit sind die erlittene Unbill und weiteren besonderen Um- stände des Einzelfalles nicht zu berücksichtigen. Massgeblich ist die medi- zinisch-theoretische Beeinträchtigung der körperlichen oder geistigen In- tegrität (vgl. Urteil des Bundesgerichts 8C_756/2019 vom 11. Februar 2020 E. 4.2 mit Hinweisen). Folglich kann nicht berücksichtigt werden, dass die Beschwerdeführerin jung und sehr aktiv ist und die Einschränkung für sie einschneidender sein mag als bei älteren oder weniger aktiven Versicher- ten. Dr. med. C._____ kam folglich unter Berücksichtigung der medizinischen Akten, der elektroneuromyographischen Befunde und der von der Be- schwerdeführerin aktenkundig beklagten Beschwerden sowie unter Bezug- nahme auf die geltenden Suva-Tabellen und in Auseinandersetzung mit den Ausführungen der behandelnden Ärzte zu seiner nachvollziehbar be- gründeten Einschätzung der Höhe der Integritätseinbusse.</w:t>
      </w:r>
    </w:p>
    <w:p>
      <w:r>
        <w:rPr>
          <w:b/>
        </w:rPr>
        <w:t>E. 3.5</w:t>
      </w:r>
    </w:p>
    <w:p>
      <w:r>
        <w:t>Zusammenfassend ergeben sich weder aus den Ausführungen der Be- schwerdeführerin noch aus den medizinischen Akten auch nur geringe Zweifel an der Schlüssigkeit und Vollständigkeit der Beurteilungen von Dr. med. C._____ (vgl. E. 3.1 hiervor). Der medizinische Sachverhalt er- weist sich vor diesem Hintergrund als vollständig abgeklärt, sodass auf wei- tere Abklärungen verzichtet werden kann (vgl. Beschwerde Rechtsbegeh- ren Ziff. 2), da von diesen keine weiteren Erkenntnisse zu erwarten sind (antizipierte Beweiswürdigung, BGE 127 V 491 E. 1b S. 494 mit Hinwei- sen; SVR 2001 IV Nr. 10 S. 27 E. 4). Es ist daher nicht zu beanstanden, dass die Beschwerdegegnerin der Be- schwerdeführerin gestützt auf die Beurteilung ihres beratenden Arztes Dr. med. Steil basierend auf einer Integritätseinbusse von 5 % eine Integri- tätsentschädigung von Fr. 7'410.00 zugesprochen hat. Der angefochtene Einspracheentscheid vom 5. November 2024 (VB 67) ist damit zu bestäti- gen.</w:t>
      </w:r>
    </w:p>
    <w:p>
      <w:r>
        <w:rPr>
          <w:b/>
        </w:rPr>
        <w:t>E. 4.1</w:t>
      </w:r>
    </w:p>
    <w:p>
      <w:r>
        <w:t>Nach dem Dargelegten ist die Beschwerde abzuweisen.</w:t>
      </w:r>
    </w:p>
    <w:p>
      <w:r>
        <w:t>- 7 -</w:t>
      </w:r>
    </w:p>
    <w:p>
      <w:r>
        <w:rPr>
          <w:b/>
        </w:rPr>
        <w:t>E. 4.2</w:t>
      </w:r>
    </w:p>
    <w:p>
      <w:r>
        <w:t>Das Verfahren ist kostenlos (Art. 61 lit. fbis ATSG).</w:t>
      </w:r>
    </w:p>
    <w:p>
      <w:r>
        <w:rPr>
          <w:b/>
        </w:rPr>
        <w:t>E. 4.3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11. Juni 2025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