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VBE.2024.548 vom 14. Mai 2025</w:t>
      </w:r>
    </w:p>
    <w:p>
      <w:r>
        <w:t>Ag Versicherungsgericht, 2025-05-14, DE</w:t>
      </w:r>
    </w:p>
    <w:p>
      <w:r>
        <w:rPr>
          <w:b/>
        </w:rPr>
        <w:t xml:space="preserve">Quelle: </w:t>
      </w:r>
      <w:r>
        <w:t>https://mcp.opencaselaw.ch/entscheid/ag_versicherungsgericht_VBE.2024.548</w:t>
      </w:r>
    </w:p>
    <w:p>
      <w:r>
        <w:t>FR: AG_VERSICHERUNGSGERICHT VBE.2024.548 du 14 mai 2025</w:t>
      </w:r>
    </w:p>
    <w:p>
      <w:r>
        <w:t>IT: AG_VERSICHERUNGSGERICHT VBE.2024.548 del 14 maggio 2025</w:t>
      </w:r>
    </w:p>
    <w:p>
      <w:pPr>
        <w:pStyle w:val="Heading2"/>
      </w:pPr>
      <w:r>
        <w:t>Erwägungen</w:t>
      </w:r>
    </w:p>
    <w:p>
      <w:r>
        <w:rPr>
          <w:b/>
        </w:rPr>
        <w:t>E. 4</w:t>
      </w:r>
    </w:p>
    <w:p>
      <w:r>
        <w:t>Da der Beschwerdeführer gemäss der in Rechtskraft erwachsenen Verfü- gung vom 11. Januar 2023 ab dem 1. April 2019 keinen Anspruch auf eine Invalidenrente hatte (VB 226) und sich die für die Zeit ab dem 1. April 2019 ausgerichteten Rentenleistungen damit als unrechtmässig bezogen erwie- sen (vgl. E. 3.1. hiervor), die Verwirkungsfristen gemäss Art. 25 Abs. 2 ATSG gewahrt wurden (vgl. E. 3.2. hiervor) und gegen die Höhe der Rück- forderung, ausweislich der Akten zu Recht, nichts vorgebracht wurde, er- weist sich die angefochtene Verfügung vom 15. Oktober 2024 (VB 279) als rechtens.</w:t>
      </w:r>
    </w:p>
    <w:p>
      <w:r>
        <w:rPr>
          <w:b/>
        </w:rPr>
        <w:t>E. 5.1</w:t>
      </w:r>
    </w:p>
    <w:p>
      <w:r>
        <w:t>Nach dem Dargelegten ist die Beschwerde abzuweisen.</w:t>
      </w:r>
    </w:p>
    <w:p>
      <w:r>
        <w:rPr>
          <w:b/>
        </w:rPr>
        <w:t>E. 5.2</w:t>
      </w:r>
    </w:p>
    <w:p>
      <w:r>
        <w:t>Da es sich bei der Rückforderung einer Leistung gemäss Rechtsprechung um eine Leistungsverfügung handelt (BGE 112 V 97 E. 1b S. 100), ist das vorliegende Verfahren kostenpflichtig (Art. 69 Abs. 1bis IVG). Die Kosten</w:t>
      </w:r>
    </w:p>
    <w:p>
      <w:r>
        <w:t>- 5 - werden nach dem Verfahrensaufwand und unabhängig vom Streitwert im Rahmen von Fr. 200.00 bis Fr. 1'000.00 festgesetzt. Für das vorliegende Verfahren betragen diese Fr. 400.00. Sie sind gemäss dem Verfahrensaus- gang dem Beschwerdeführer aufzuerlegen.</w:t>
      </w:r>
    </w:p>
    <w:p>
      <w:r>
        <w:rPr>
          <w:b/>
        </w:rPr>
        <w:t>E. 5.3</w:t>
      </w:r>
    </w:p>
    <w:p>
      <w:r>
        <w:t>Dem Beschwerdeführer steht nach dem Ausgang des Verfahrens (Art. 61 lit. g ATSG) und der Beschwerdegegnerin aufgrund ihrer Stellung als Sozi- alversicherungsträgerin (BGE 126 V 143 E. 4 S. 149 ff.) kein Anspruch auf eine Parteientschädigung zu.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14. Mai 2025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