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VBE.2024.530 vom 22. August 2025</w:t>
      </w:r>
    </w:p>
    <w:p>
      <w:r>
        <w:t>Ag Versicherungsgericht, 2025-08-22, DE</w:t>
      </w:r>
    </w:p>
    <w:p>
      <w:r>
        <w:rPr>
          <w:b/>
        </w:rPr>
        <w:t xml:space="preserve">Quelle: </w:t>
      </w:r>
      <w:r>
        <w:t>https://mcp.opencaselaw.ch/entscheid/ag_versicherungsgericht_VBE.2024.530</w:t>
      </w:r>
    </w:p>
    <w:p>
      <w:r>
        <w:t>FR: AG_VERSICHERUNGSGERICHT VBE.2024.530 du 22 août 2025</w:t>
      </w:r>
    </w:p>
    <w:p>
      <w:r>
        <w:t>IT: AG_VERSICHERUNGSGERICHT VBE.2024.530 del 22 agosto 2025</w:t>
      </w:r>
    </w:p>
    <w:p>
      <w:pPr>
        <w:pStyle w:val="Heading2"/>
      </w:pPr>
      <w:r>
        <w:t>Erwägungen</w:t>
      </w:r>
    </w:p>
    <w:p>
      <w:r>
        <w:rPr>
          <w:b/>
        </w:rPr>
        <w:t>E. 3</w:t>
      </w:r>
    </w:p>
    <w:p>
      <w:r>
        <w:t>Die Prämienforderung der Beschwerdegegnerin für die Monate April bis November 2023 wurde vorliegend vollständig durch die Auszahlung von Prämienverbilligung durch die EL-Stelle (vgl. VB 1; 18) getilgt. Eine Anrech- nung der Prämienverbilligung an die im Bezugsjahr noch zu bezahlenden und die bereits in Rechnung gestellten, aber noch nicht bezahlten Prämien, ist entsprechend vorgesehen (vgl. Urteil des Bundesgerichts 9C_442/2019 vom 29. Oktober 2019 E. 5.2). Dass die Beschwerdegegnerin diese statt- dessen dem Beschwerdeführer auszahlte (VB 1 f.), entbehrt hingegen (in dieser Konstellation) jeglicher Rechtsgrundlage. Hinsichtlich des Umfangs der ausbezahlten Prämienverbilligung mag der Beschwerdeführer allenfalls rückerstattungspflichtig i.S.v. Art. 25 ATSG sein. Dies führt jedoch nicht dazu, dass die bereits durch die Zahlung der Prämienverbilligung an die Beschwerdegegnerin getilgte Prämienforderung wiederaufleben würde (so bereits Urteil des Versicherungsgerichts VBE.2020.377 vom 9. Dezember 2020 E. 4.4. für den Fall einer nachträglichen Annulation der Prämienver- billigung). Die Beschwerdegegnerin kann vom Beschwerdeführer demnach zufolge Tilgung vorliegend die KVG-Prämien für die Monate April bis No- vember 2023 gar nicht mehr fordern. Vielmehr verlangt(e) sie die Rücker- stattung der dem Beschwerdeführer aus unerfindlichen Gründen ausbe- zahlten Prämienverbilligung (vgl. Vernehmlassung S. 1 in fine; Eingabe vom 29. April 2025; VB 1).</w:t>
      </w:r>
    </w:p>
    <w:p>
      <w:r>
        <w:rPr>
          <w:b/>
        </w:rPr>
        <w:t>E. 4.1</w:t>
      </w:r>
    </w:p>
    <w:p>
      <w:r>
        <w:t>Wenn nach Einleitung des Vollstreckungsverfahrens durch Einreichung des Betreibungsbegehrens gegen den Zahlungsbefehl Rechtsvorschlag er- hoben wird, ist der obligatorische Krankenversicherer berechtigt, den Rechtsvorschlag mittels formeller Verfügung aufzuheben und nach Eintritt der Rechtskraft derselben die Betreibung fortzusetzen. Das Dispositiv der Verfügung muss mit Bestimmtheit auf die hängige Betreibung Bezug neh- men und den Rechtsvorschlag ausdrücklich als aufgehoben erklären (BGE 119 V 329 E. 2b S. 331 mit Hinweisen, RKUV 2004 KV 274 S. 134 E. 4.2.1). Die Verfügung unterliegt dem Rechtsmittel der Einsprache bzw. der Beschwerde (Art. 52 und 54 ATSG). Ein an die Erhebung des Rechts- vorschlags anschliessendes Rechtsöffnungsverfahren nach Art. 80 SchKG findet somit in den die obligatorische Krankenpflegeversicherung betreffen- den betreibungsrechtlichen Verfahren in der Regel nicht statt. Mithin ist auf dem Gebiet der Sozialversicherung die erstinstanzlich verfügende Verwal- tungsbehörde, die kantonale Rechtsmittelinstanz bzw. das Bundesgericht ordentlicher Richter im Sinne von Art. 79 SchKG, der zum materiellen Ent- scheid über die Aufhebung des Rechtsvorschlages zuständig ist (BGE 131 V 147 E. 6.2 S. 150 f. mit Hinweisen).</w:t>
      </w:r>
    </w:p>
    <w:p>
      <w:r>
        <w:t>- 5 -</w:t>
      </w:r>
    </w:p>
    <w:p>
      <w:r>
        <w:rPr>
          <w:b/>
        </w:rPr>
        <w:t>E. 4.2</w:t>
      </w:r>
    </w:p>
    <w:p>
      <w:r>
        <w:t>Der Rechtsöffnungsrichter hat folgende drei Identitäten zu prüfen: (1) die Identität zwischen dem Betreibenden und dem auf dem Rechtsöffnungstitel genannten Gläubiger, (2) die Identität zwischen dem Betriebenen und dem auf dem Rechtsöffnungstitel genannten Schuldner sowie (3) die Identität zwischen der in Betreibung gesetzten Forderung und derjenigen, die sich aus dem Rechtsöffnungstitel ergibt (BGE 141 I 97 E. 5.2 S. 100).</w:t>
      </w:r>
    </w:p>
    <w:p>
      <w:r>
        <w:rPr>
          <w:b/>
        </w:rPr>
        <w:t>E. 4.3</w:t>
      </w:r>
    </w:p>
    <w:p>
      <w:r>
        <w:t>Die Beschwerdegegnerin forderte vom Beschwerdeführer gemäss Zah- lungsbefehl vom 16. August 2024 "[o]ffene Prämienrechnung(en) KVG vom April 2023 bis November 2023" (VB 21). Davon abgesehen, dass diese Prämienforderung ohnehin bereits mit Überweisung der Prämienverbilli- gung getilgt war (vgl. E. 3.), besteht demnach – wie der Beschwerdeführer füglich geltend macht (Eingabe vom 19. Mai 2025 S. 2) – auch keine For- derungsidentität mit der tatsächlich geforderten Rückzahlung der dem Be- schwerdeführer am 1. November 2023 ausbezahlten Prämienverbilligung (vgl. dazu sowohl die Ausführungen der Beschwerdegegnerin sowohl im angefochtenen Einspracheentscheid [VB 23] als auch in der Vernehmlas- sung vom 10. Dezember 2024 sowie in der Eingabe vom 29. April 2025). Da dem angefochtenen Einspracheentscheid somit eine andere als die in Betreibung gesetzte (ohnehin bereits getilgte) Forderung zugrunde liegt, ist der Einspracheentscheid aufzuheben. Es kann somit keine Rechtsöffnung erteilt werden, wodurch auch kein Anspruch auf Ersatz der bisher angefal- lenen Betreibungskosten (Vernehmlassung S. 2) besteht. Genauso verhält es sich mit den geforderten Verzugszinsen (vgl. Eingabe vom 29. April 2025); diese fallen nur für fällige Beitragsforderungen an (vgl. Art. 26 Abs. 1 ATSG). Die ihm zu Unrecht ausbezahlte Prämienverbilligung (bzw. den diese gar übersteigenden Betrag von Fr. 3'393.90) hat der Beschwerdeführer im Üb- rigen am 18. Oktober 2024 der Beschwerdegegnerin wieder zurückbezahlt (Vernehmlassung S. 1 in fine; Beschwerdebeilage 3; Beilagen 2 f. zur Ein- gabe vom 31. Dezember 2024).</w:t>
      </w:r>
    </w:p>
    <w:p>
      <w:r>
        <w:rPr>
          <w:b/>
        </w:rPr>
        <w:t>E. 5.1</w:t>
      </w:r>
    </w:p>
    <w:p>
      <w:r>
        <w:t>Die vorliegende Streitigkeit betrifft keine Leistung im Sinne des Art. 61 lit. fbis ATSG, weshalb sich die Verfahrenskosten nach kantonalem Recht richten (vgl. Urteil des Bundesgerichts 9C_369/2022 vom 19. September 2022 E. 6.2). Für das Verfahren vor dem Versicherungsgericht betragen die Gebühren Fr. 200.00 bis Fr. 1'000.00 (§ 20 Abs. 1 lit. c GebührD; SAR 662.110). Für das vorliegende Verfahren betragen die Kosten Fr. 400.00. Sie sind dem Verfahrensausgang entsprechend der Beschwer- degegnerin aufzuerlegen.</w:t>
      </w:r>
    </w:p>
    <w:p>
      <w:r>
        <w:t>- 6 -</w:t>
      </w:r>
    </w:p>
    <w:p>
      <w:r>
        <w:rPr>
          <w:b/>
        </w:rPr>
        <w:t>E. 5.2</w:t>
      </w:r>
    </w:p>
    <w:p>
      <w:r>
        <w:t>Der Beschwerdegegnerin steht nach dem Ausgang des Verfahrens (Art. 61 lit. g ATSG) und dem Beschwerdeführer mangels entschädigungspflichti- gen Aufwandes (vgl. Eingabe vom 31. Dezember 2024 S. 4) keine Partei- entschädigung zu. Die (kumulativen) Voraussetzungen für eine ausnahms- weise Zusprache einer Parteientschädigung (komplexe Sache mit hohem Streitwert; hoher Arbeitsaufwand, der den Rahmen dessen überschreitet, was der einzelne üblicher- und zumutbarerweise nebenbei zur Besorgung der persönlichen Angelegenheiten auf sich zu nehmen hat; vernünftiges Verhältnis zwischen dem betriebenen Aufwand und dem Ergebnis der In- teressenwahrung; vgl. dazu BGE 129 V 113 E. 4.1 S. 116; 127 V 205 E. 4b S. 207; 110 V 132 E. 4d S. 134 f.) an den Beschwerdeführer sind nicht er- füllt, da dessen Aufwendungen als noch im üblichen Rahmen liegend zu betrachten sind. Das Versicherungsgericht erkennt: 1. In Gutheissung der Beschwerde, soweit auf diese eingetreten wird, wird der Einspracheentscheid vom 2. Oktober 2024 aufgehoben. 2. Die Verfahrenskosten von Fr. 400.00 werden der Beschwerdegegnerin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w:t>
      </w:r>
    </w:p>
    <w:p>
      <w:r>
        <w:t>- 7 - Beweismittel angerufenen Urkunden sind beizulegen, soweit die Partei sie in Händen hat (Art. 42 BGG). Aarau, 22. August 2025 Versicherungsgericht des Kantons Aargau 3. Kammer Die Präsidentin: Der Gerichtsschreiber: Gössi Battaglia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