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VBE.2024.465 vom 20. Juni 2025</w:t>
      </w:r>
    </w:p>
    <w:p>
      <w:r>
        <w:t>Ag Versicherungsgericht, 2025-06-20, DE</w:t>
      </w:r>
    </w:p>
    <w:p>
      <w:r>
        <w:rPr>
          <w:b/>
        </w:rPr>
        <w:t xml:space="preserve">Quelle: </w:t>
      </w:r>
      <w:r>
        <w:t>https://mcp.opencaselaw.ch/entscheid/ag_versicherungsgericht_VBE.2024.465</w:t>
      </w:r>
    </w:p>
    <w:p>
      <w:r>
        <w:t>FR: AG_VERSICHERUNGSGERICHT VBE.2024.465 du 20 juin 2025</w:t>
      </w:r>
    </w:p>
    <w:p>
      <w:r>
        <w:t>IT: AG_VERSICHERUNGSGERICHT VBE.2024.465 del 20 giugno 2025</w:t>
      </w:r>
    </w:p>
    <w:p>
      <w:pPr>
        <w:pStyle w:val="Heading2"/>
      </w:pPr>
      <w:r>
        <w:t>Erwägungen</w:t>
      </w:r>
    </w:p>
    <w:p>
      <w:r>
        <w:rPr>
          <w:b/>
        </w:rPr>
        <w:t>E. 4</w:t>
      </w:r>
    </w:p>
    <w:p>
      <w:r>
        <w:t>Das von der Beschwerdegegnerin bzw. Dr. med. D._____ als indiziert er- achtete Aufbautraining (vgl. E. 3 hiervor) setzt eine minimale Präsenz der</w:t>
      </w:r>
    </w:p>
    <w:p>
      <w:r>
        <w:t>- 5 - versicherten Person von mindestens acht Stunden pro Woche voraus (E. 2.2. hiervor; Rz. 1504 KSBEM; zur Verbindlichkeit von Verwaltungswei- sungen vgl. BGE 144 V 195 E. 4.2 S. 198, 141 V 365 E. 2.4 S. 368 und 140 V 543 E. 3.2.2.1 S. 547). Ziel des Aufbautrainings ist die kontinuierliche Steigerung der Arbeitsfähigkeit der versicherten Person auf 50 %, um die Teilnahme an weiteren Integrationsmassnahmen wie beispielsweise dem Arbeitstraining, Massnahmen beruflicher Art (Art. 15 – 18d IVG), wie der vorliegend umstrittenen erstmaligen beruflichen Ausbildung nach Art. 16 IVG, oder die berufliche Eingliederung in den Arbeitsmarkt zu ermöglichen (Rz. 1506 KSBEM; vgl. Art. 14a Abs. 1bis IVG in E. 2.2 hiervor). Den Akten ist zu entnehmen, dass beim Privatgymnasium B._____ das Pensum bzw. die wöchentliche Zahl an Lektionen auf 5.5 Stunden pro Wo- che beschränkt werden kann (VB 75 S. 2; 77 S. 2, S. 4). Seit Juni 2024 absolviert die Beschwerdeführerin ein individuelles Vorprogramm und be- sucht die Schule dafür an zwei Tagen die Woche während insgesamt vier Stunden (Beschwerdebeilage [BB] 3 S. 1; 5). Damit erreicht die Beschwerdeführerin weder im Zeitpunkt des Erlasses der angefochtenen Verfügung noch bei Umsetzung der von der Sozialversiche- rungsberatung gesundheitsbedingt als maximal machbar angesehenen Präsenz von 5.5 Stunden pro Woche (VB 75 S. 2; in dem Sinne auch der behandelnde Kinder- und Jugendpsychiater in VB 77 S. 2 und die behan- delnde Psychotherapeutin in VB 77 S. 4) die als Mindestanforderung für die Vorbereitungsmassnahme auf die berufliche Eingliederung nach Art. 14a IVG vorausgesetzten acht Stunden pro Woche, geschweige denn die für eine von der IV nach erfolgreichem Abschluss der Vorbereitungsmass- nahme finanzierte erstmalige berufliche Ausbildung nach Art. 16 IVG vo- rausgesetzte 50%ige Arbeits- bzw. Ausbildungsfähigkeit. Letztere erreicht sie nicht einmal unter Miteinbezug des vom Privatgymnasium B._____ an- geführten Selbststudiums-Anteils von wöchentlich 12 Stunden (BB 5), wel- cher von dieser zwar als Minimum genannt, aber in seinem tatsächlichen Ausmass (mangels vorausgesetzter Präsenz) nicht überprüfbar ist. Schon allein deswegen kann kein Anspruch der Beschwerdeführerin auf Über- nahme der Kosten für die gymnasiale Ausbildung am Privatgymna- sium B._____ durch die Beschwerdegegnerin im Rahmen der erstmaligen beruflichen Ausbildung nach Art. 16 IVG bestehen. Bei dieser Sachlage er- übrigen sich Äusserungen zu den weiteren Vorbringen der Beschwerdefüh- rerin in deren Beschwerde vom 16. September 2024 (Beschwerde, Ziff. II. 4. ff.). Es ist anzumerken, dass sich die Beschwerdeführerin auf eigene Verant- wortung für eine Ausbildung an einer aus ihrer Sicht passenden Institution entschieden hat, ohne den Entscheid der Beschwerdegegnerin über das entsprechende Kostengesuch abzuwarten (vgl. VB 56 S. 3) bzw. sich letzt- lich bewusst gegen die von der IV-Stelle vorgesehene Massnahme</w:t>
      </w:r>
    </w:p>
    <w:p>
      <w:r>
        <w:t>- 6 - entschieden hat (VB 65 S. 2 f.). Damit hat sie das Kostenrisiko bewusst auf sich genommen (vgl. Urteil des Bundesgerichts 8C_131/2023 vom 6. März 2024 E. 6.1 f.).</w:t>
      </w:r>
    </w:p>
    <w:p>
      <w:r>
        <w:rPr>
          <w:b/>
        </w:rPr>
        <w:t>E. 5</w:t>
      </w:r>
    </w:p>
    <w:p>
      <w:r>
        <w:t>Soweit die Beschwerdeführerin die Kostenübernahme für die Stellung- nahme ihrer behandelnden Psychotherapeutin vom 15. September 2024 beantragt (Rechtsbegehren 3.; Beschwerde, Ziff. II. 9.), ist anzumerken, dass diese für die Beurteilung des vorliegend streitigen Leistungsan- spruchs der Beschwerdeführerin nicht entscheidend war bzw. diesbezüg- lich keinen Mehrwert gebracht hat. Die Kosten für deren Erstellung sind folglich nicht von der Beschwerdegegnerin zu tragen.</w:t>
      </w:r>
    </w:p>
    <w:p>
      <w:r>
        <w:rPr>
          <w:b/>
        </w:rPr>
        <w:t>E. 6.1</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Beschwerdeführerin aufzuerlegen.</w:t>
      </w:r>
    </w:p>
    <w:p>
      <w:r>
        <w:rPr>
          <w:b/>
        </w:rPr>
        <w:t>E. 6.2</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w:t>
      </w:r>
    </w:p>
    <w:p>
      <w:r>
        <w:t>- 7 -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Juni 2025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