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VBE.2024.41 vom 18. April 2024</w:t>
      </w:r>
    </w:p>
    <w:p>
      <w:r>
        <w:t>Ag Versicherungsgericht, 2024-04-18, DE</w:t>
      </w:r>
    </w:p>
    <w:p>
      <w:r>
        <w:rPr>
          <w:b/>
        </w:rPr>
        <w:t xml:space="preserve">Quelle: </w:t>
      </w:r>
      <w:r>
        <w:t>https://mcp.opencaselaw.ch/entscheid/ag_versicherungsgericht_VBE.2024.41</w:t>
      </w:r>
    </w:p>
    <w:p>
      <w:r>
        <w:t>FR: AG_VERSICHERUNGSGERICHT VBE.2024.41 du 18 avril 2024</w:t>
      </w:r>
    </w:p>
    <w:p>
      <w:r>
        <w:t>IT: AG_VERSICHERUNGSGERICHT VBE.2024.41 del 18 aprile 2024</w:t>
      </w:r>
    </w:p>
    <w:p>
      <w:pPr>
        <w:pStyle w:val="Heading2"/>
      </w:pPr>
      <w:r>
        <w:t>Erwägungen</w:t>
      </w:r>
    </w:p>
    <w:p>
      <w:r>
        <w:rPr>
          <w:b/>
        </w:rPr>
        <w:t>E. 4</w:t>
      </w:r>
    </w:p>
    <w:p>
      <w:r>
        <w:t>Mangels einer invalidenversicherungsrechtlich relevanten durchschnittlich mindestens 40%igen Arbeitsunfähigkeit während eines Jahres ohne we- sentlichen Unterbruch sind damit bereits die materiellen Rentenanspruchs- voraussetzungen gemäss Art. 6 und 8 ATSG i.V.m. Art. 28 Abs. 1 IVG nicht erfüllt. Die Beschwerdegegnerin hat das Rentenbegehren der Beschwer- deführerin folglich mit Verfügung vom 30. November 2023 (VB 63) zu Recht abgewiesen.</w:t>
      </w:r>
    </w:p>
    <w:p>
      <w:r>
        <w:rPr>
          <w:b/>
        </w:rPr>
        <w:t>E. 5.1</w:t>
      </w:r>
    </w:p>
    <w:p>
      <w:r>
        <w:t>Nach dem Dargelegten ist die Beschwerde abzuweisen.</w:t>
      </w:r>
    </w:p>
    <w:p>
      <w:r>
        <w:t>- 10 -</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der Beschwerde- 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18. April 2024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