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VBE.2024.404 vom 27. März 2025</w:t>
      </w:r>
    </w:p>
    <w:p>
      <w:r>
        <w:t>Ag Versicherungsgericht, 2025-03-27, DE</w:t>
      </w:r>
    </w:p>
    <w:p>
      <w:r>
        <w:rPr>
          <w:b/>
        </w:rPr>
        <w:t xml:space="preserve">Quelle: </w:t>
      </w:r>
      <w:r>
        <w:t>https://mcp.opencaselaw.ch/entscheid/ag_versicherungsgericht_VBE.2024.404</w:t>
      </w:r>
    </w:p>
    <w:p>
      <w:r>
        <w:t>FR: AG_VERSICHERUNGSGERICHT VBE.2024.404 du 27 mars 2025</w:t>
      </w:r>
    </w:p>
    <w:p>
      <w:r>
        <w:t>IT: AG_VERSICHERUNGSGERICHT VBE.2024.404 del 27 marzo 2025</w:t>
      </w:r>
    </w:p>
    <w:p>
      <w:pPr>
        <w:pStyle w:val="Heading2"/>
      </w:pPr>
      <w:r>
        <w:t>Erwägungen</w:t>
      </w:r>
    </w:p>
    <w:p>
      <w:r>
        <w:rPr>
          <w:b/>
        </w:rPr>
        <w:t>E. 19</w:t>
      </w:r>
    </w:p>
    <w:p>
      <w:r>
        <w:t>Juni 2024 aus, der Gesetzgeber habe in der Schweiz Regelleistungen festgelegt, wobei Ganganalysen nicht zu diesem Leistungskatalog gehör- ten. Die Kostengutsprachen der IV orientierten sich gleichermassen an die- sen Vorgaben des Gesetzgebers. Eine Kostengutsprache für die am 8. März 2024 durchgeführte Ganganalyse durch die IV sei unter GG 381 nicht möglich (VB 206). 4.2. Dr. med. D._____ führte bereits im Bericht vom 10. April 2024 zur Gang- analyse vom 8. März 2024 aus, der Zweck der Untersuchung sei die Fest- legung der Folgeversorgung sowie eine Verlaufsbeurteilung im Vergleich zur Ganganalyse 2022 (VB 196 S. 3). Dr. med. E._____ zitierte in ihrer Stellungnahme vom 1. Mai 2024 diesen Bericht insoweit unvollständig, als sie ausführte, es handle sich dabei um eine lediglich routinemässige Ver- laufsbeurteilung mit kleineren Anpassungen der OSSA-Orthesen (VB 199 S. 2), wobei sie den von Dr. med. D._____ erwähnten Zweck der Festle- gung der Folgeversorgung nicht erwähnte. Dr. med. D._____ führte im Be- richt vom 13. Mai 2024 aus, die Ganganalyse gebe Hinweise auf Optimie- rungsmöglichkeiten und die Ganganalyse könne zu Änderungen und Er- weiterungen des Behandlungsplanes führen (VB 202 S. 2). Auch in seinem Bericht vom 9. August 2024, welcher nach Verfügungserlass erstellt wurde, aber Rückschlüsse auf die im Zeitpunkt der Verfügung gegebene Situation erlaubt (vgl. BGE 121 V 362 E. 1b S. 366) und daher vorliegend zu berück- sichtigen ist, führte Dr. med. D._____ aus, die Ganganalysen seien sinnvoll zur kritischen Überprüfung der laufenden konservativen Behandlung und zur Vermeidung einer operativen Folgebehandlung. Eine laufende objek- tive Betrachtung der Gangdynamik und der bestehenden konservativen Be- handlung sei notwendig. Häufig würden sich notwendige Änderungen dar- aus ableiten, um die Wirksamkeit und Zweckmässigkeit und somit auch die Wirtschaftlichkeit zu gewährleisten. Ein positiver Befund der Ganganalyse</w:t>
      </w:r>
    </w:p>
    <w:p>
      <w:r>
        <w:t>- 7 - mit stabilem Verlauf ohne daraus abzuleitender Behandlungsänderung sollte deren Sinnhaftigkeit nicht in Frage stellen, da bei jedem Diagnosti- kum das Ergebnis im Vorfeld nicht bekannt sei (Beschwerdebeilage 4). Aus den Stellungnahmen von Dr. med. D._____ ergibt sich damit, dass es sich bei der am 8. März 2024 durchgeführten Ganganalyse nicht nur um eine Routineuntersuchung, sondern um eine medizinische Analyse gehandelt hat, welche durchgeführt wurde, um eine Anpassung der Behandlung zu prüfen (vgl. Art. 3novies Abs. 2 lit. b IVV). Unbestrittenermassen ist die Gang- analyse zur Diagnostik von Gangstörungen und Gangbildveränderungen vorgesehen (vgl. diesbezüglich auch Pschyrembel, Klinisches Wörterbuch, 269. Aufl. 2023, S. 596, zum Begriff Ganganalyse). Dass die Ganganalyse die Kriterien der Wirksamkeit, Zweckmässigkeit oder Wirtschaftlichkeit nicht erfüllen würde (vgl. E. 3.2.1. hiervor), wird von keiner Partei vorge- bracht und es gibt ausweislich der Akten auch keine Hinweise darauf, dass diese Kriterien nicht erfüllt wären. Es besteht folglich eine Vergütungspflicht der Beschwerdegegnerin für die durchgeführte Ganganalyse vom 8. März 2024 (vgl. E. 3.3.2. hiervor). Somit hat die Beschwerdegegnerin die Kos- tenübernahme der Ganganalyse mit Verfügung vom 21. Juni 2024 zu Un- recht verweigert. 5. 5.1. Nach dem Dargelegten ist die Beschwerde gutzuheissen und die angefoch- tene Verfügung vom 21. Juni 2024 aufzuheben. Die Beschwerdegegnerin wird verpflichtet, Kostengutsprache für die Ganganalyse der Beschwerde- führerin vom 8. März 2024 zu leisten. 5.2.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 5.3. Ausgangsgemäss hat die Beschwerdeführerin Anspruch auf Ersatz der richterlich festzusetzenden Parteikosten (Art. 61 lit. g ATSG). Das Versicherungsgericht erkennt: 1. In Gutheissung der Beschwerde wird die Verfügung vom 21. Juni 2024 auf- gehoben. Die Beschwerdegegnerin wird verpflichtet, Kostengutsprache für die Ganganalyse der Beschwerdeführerin vom 8. März 2024 zu leisten.</w:t>
      </w:r>
    </w:p>
    <w:p>
      <w:r>
        <w:t>- 8 - 2. Die Verfahrenskosten von Fr. 400.00 werden der Beschwerdegegnerin auf- erlegt. 3. Die Beschwerdegegnerin wird verpflichtet, der Beschwerdeführerin die Parteikosten in richterlich festgesetzter Höhe von Fr. 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März 2025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