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VBE.2024.342 vom 20. März 2025</w:t>
      </w:r>
    </w:p>
    <w:p>
      <w:r>
        <w:t>Ag Versicherungsgericht, 2025-03-20, DE</w:t>
      </w:r>
    </w:p>
    <w:p>
      <w:r>
        <w:rPr>
          <w:b/>
        </w:rPr>
        <w:t xml:space="preserve">Quelle: </w:t>
      </w:r>
      <w:r>
        <w:t>https://mcp.opencaselaw.ch/entscheid/ag_versicherungsgericht_VBE.2024.342</w:t>
      </w:r>
    </w:p>
    <w:p>
      <w:r>
        <w:t>FR: AG_VERSICHERUNGSGERICHT VBE.2024.342 du 20 mars 2025</w:t>
      </w:r>
    </w:p>
    <w:p>
      <w:r>
        <w:t>IT: AG_VERSICHERUNGSGERICHT VBE.2024.342 del 20 marzo 2025</w:t>
      </w:r>
    </w:p>
    <w:p>
      <w:pPr>
        <w:pStyle w:val="Heading2"/>
      </w:pPr>
      <w:r>
        <w:t>Erwägungen</w:t>
      </w:r>
    </w:p>
    <w:p>
      <w:r>
        <w:rPr>
          <w:b/>
        </w:rPr>
        <w:t>E. 4</w:t>
      </w:r>
    </w:p>
    <w:p>
      <w:r>
        <w:t>Unter Kosten- und Entschädigungsfolge." 2.2. Mit Vernehmlassung vom 9. September 2024 beantragte die Beschwerde- gegnerin unter Beilage ihrer Akten, welche unter anderem eine nach Erlass der angefochtenen Verfügung eingeholte RAD-Stellungnahme enthalten, die Abweisung der Beschwerde. 2.3. Mit instruktionsrichterlicher Verfügung vom 12. September 2024 wurde die berufliche Vorsorgeeinrichtung der Beschwerdeführerin im Verfahren bei- geladen und ihr Gelegenheit zur Stellungnahme gegeben. Mit Eingabe vom 18. September 2024 reichte diese eine Stellungnahme ein.</w:t>
      </w:r>
    </w:p>
    <w:p>
      <w:r>
        <w:t>- 3 - 2.4. Mit Replik vom 16. Oktober 2024 hielt die Beschwerdeführerin an den ge- stellten Anträgen fest. Das Versicherungsgericht zieht in Erwägung: 1. Streitig und zu prüfen ist, ob die Beschwerdegegnerin der Beschwerdefüh- rerin mit Verfügung vom 17. Mai 2024 (Vernehmlassungsbeilage [VB] 222) zu Recht (nur) eine vom 1. Februar bis am 31. März 2023 befristete ganze Rente zugesprochen hat. 2. Ist der Rentenanspruch einmal entstanden, richtet sich der Übergang auf eine Invalidenrente höheren Grades nicht mehr nach Art. 28 Abs. 1 lit. b i.V.m. Art. 29 Abs. 1 IVG, sondern nach den revisionsrechtlichen Bestim- mungen von Art. 17 ATSG sowie Art. 88a und Art. 88bis IVV. Das gilt auch bei der (rückwirkend erfolgten) abgestuften und/oder befristeten Rentenzu- sprache, wobei hier Art. 88bis IVV nicht anwendbar ist (MEYER/REICHMUTH, Rechtsprechung des Bundesgerichts zum Sozialversicherungsrecht, Bun- desgesetz über die Invalidenversicherung [IVG], 4. Aufl. 2022, N. 9 zu Art. 29 IVG mit Hinweis auf BGE 109 V 125; vgl. auch BGE 121 V 264 E. 6b/dd S. 275). Gemäss Art. 17 Abs. 1 ATSG wird die Rente von Amtes wegen oder auf Gesuch hin für die Zukunft entsprechend erhöht, herabgesetzt oder aufge- hoben, wenn sich der Invaliditätsgrad einer Rentenbezügerin oder eines Rentenbezügers um mindestens fünf Prozentpunkte ändert (Art. 17 Abs. 1 lit. a ATSG). Anlass zur Revision einer Invalidenrente im Sinne von Art. 17 Abs. 1 ATSG gibt jede wesentliche Änderung in den tatsächlichen Verhältnissen, die geeignet ist, den Invaliditätsgrad und damit den Renten- anspruch zu beeinflussen (BGE 134 V 131 E. 3 mit Hinweisen). 3. 3.1. In der angefochtenen Verfügung vom 17. Mai 2024 (VB 222) stützte sich die Beschwerdegegnerin in medizinischer Hinsicht im Wesentlichen auf die Aktenbeurteilungen des RAD-Arztes Dr. med. B._____, Facharzt für Ortho- pädische Chirurgie und Traumatologie des Bewegungsapparates, vom</w:t>
      </w:r>
    </w:p>
    <w:p>
      <w:r>
        <w:rPr>
          <w:b/>
        </w:rPr>
        <w:t>E. 4.1</w:t>
      </w:r>
    </w:p>
    <w:p>
      <w:r>
        <w:t>Die Beschwerdeführerin bringt im Wesentlichen vor, die Beschwerdegeg- nerin habe sich bei der Beurteilung der verbleibenden Arbeitsfähigkeit auf den Unfall vom 14. November 2021 und dessen Folgen beschränkt. Dabei</w:t>
      </w:r>
    </w:p>
    <w:p>
      <w:r>
        <w:t>- 6 - werde völlig übersehen, dass die Beschwerdeführerin schon vorher einge- schränkt gewesen sei. Im Urteil VBE.2017.150 vom 5. September 2017 (VB 160) habe das Versicherungsgericht offengelassen, ob auf das Gut- achten der Medizinisches Gutachtenzentrum Region St. Gallen GmbH (MGSG) vom 14. April 2016 (VB 141.1) und die darin festgehaltene Arbeits- unfähigkeit von 30 % umfassend abgestellt werden könne, weil dies rein rechnerisch bloss zu einem Invaliditätsgrad von 37 % geführt hätte. Zwi- schen der MGSG-Begutachtung und dem Unfall vom 14. November 2021 seien fünfeinhalb Jahre vergangen. Da sich Gesundheitsschäden mit der Zeit eher verschlechtern würden, müsse davon ausgegangen werden, dass der IV-Grad sich im Verlauf dieser Zeit erhöht habe und folglich am 14. November 2021 auch ohne den Unfall bei über 40 % gelegen haben dürfte (vgl. Beschwerde S. 5, 7, 10, 14; Replik S. 1 ff.). Die Beschwerde- gegnerin habe es unterlassen, eine umfassende Begutachtung vorzuneh- men und habe vielmehr auf die Akten des Unfallversicherers abgestellt. Sie müsse aber alle Gesundheitsschäden in einer Gesamtschau berücksichti- gen, also auch die vorbestehenden krankheitsbedingten und jegliche psy- chische Überlagerung der Unfallfolgen (vgl. Beschwerde S. 6, 9; Replik S. 1 f.). Zudem bestehe eine Knieproblematik, mit der sich der RAD nicht genügend befasst habe (vgl. Beschwerde S. 6; Replik S. 2). Im Rahmen einer umfassenden Begutachtung müsse festgelegt werden, welchen Ein- fluss auf die Arbeitsfähigkeit alle diese Gesundheitsschäden in ihrer Ge- samtheit hätten (vgl. Beschwerde S. 7 f.). Auch die Vielzahl der Diagnosen zeige, dass eine umfassende Begutachtung notwendig sei, bei der die Wechselwirkungen zwischen den einzelnen Diagnosen berücksichtigt wer- den müsste (vgl. Beschwerde S. 10). Der RAD-Arzt betrachte die medizini- schen Berichte einzeln und nehme keine Gesamtschau vor (vgl. Replik S. 2). Zudem gehe es entgegen den Ausführungen des RAD-Arztes vorliegend nicht darum, ob eine erhebliche Verschlechterung seit der Begutachtung durch die MGSG im Jahr 2016 eingetreten sei. Die zugesprochene Invali- denrente dürfte nur dann eingestellt werden, wenn die verbleibenden Ge- sundheitsschäden zu einem Invaliditätsgrad von unter 40 % führen würden (vgl. Beschwerde S. 8, 12 ff.; Replik S. 2 f.).</w:t>
      </w:r>
    </w:p>
    <w:p>
      <w:r>
        <w:rPr>
          <w:b/>
        </w:rPr>
        <w:t>E. 4.2</w:t>
      </w:r>
    </w:p>
    <w:p>
      <w:r>
        <w:t>Es ist der Beschwerdeführerin insofern zuzustimmen, als dass mit der un- umstrittenen 100%igen Arbeitsunfähigkeit in jeglicher Tätigkeit ab dem 16. Februar 2022 (vgl. E. 3.1.1. hiervor) eine wesentliche Veränderung ih- res Gesundheitszustandes seit der letzten rechtskräftigen Verfügung (Ren- tenaufhebung mit Verfügung vom 11. Januar 2017 [VB 155], bestätigt mit Urteil des Versicherungsgerichts VBE.2017.150 vom 5. September 2017 ab [VB 160]) ausgewiesen ist. Vorliegend geht es daher um die Frage, ob sich ihr Gesundheitszustand erneut wesentlich verändert hat, so dass die von der Beschwerdegegnerin verfügte Befristung der Rente zu Recht</w:t>
      </w:r>
    </w:p>
    <w:p>
      <w:r>
        <w:t>- 7 - erfolgte (vgl. E. 2 hiervor). Entgegen der Beschwerdeführerin (vgl. Be- schwerde S. 8, 12 ff.; Replik S. 2 f.) sind die RAD-Stellungnahmen von Dr. med. B._____ jedoch nicht dahingehend zu verstehen, dass er sich zu einer Veränderung des Gesundheitszustandes seit dem MGSG-Gutachten vom 14. April 2016 (VB 141.1) geäussert hat. Dr. med. B._____ hat viel- mehr in seinen Stellungnahmen vom 15. März 2024 (vgl. E. 3.1.2. hiervor),</w:t>
      </w:r>
    </w:p>
    <w:p>
      <w:r>
        <w:rPr>
          <w:b/>
        </w:rPr>
        <w:t>E. 4.3</w:t>
      </w:r>
    </w:p>
    <w:p>
      <w:r>
        <w:t>Zusammenfassend ergeben sich weder aus den Ausführungen der Be- schwerdeführerin noch den medizinischen Akten Hinweise, welche auch nur geringe Zweifel an der Schlüssigkeit und Vollständigkeit der Beurteilun- gen des RAD-Arztes Dr. med. B._____ (vgl. E. 3.1. hiervor) erwecken könnten (vgl. E. 3.2.2. hiervor). Die besagten Beurteilungen erfüllen dem- nach die Anforderungen der Rechtsprechung an beweiskräftige medizini- sche Stellungnahmen (vgl. E. 3.2.1. hiervor). Der anspruchsrelevante me- dizinische Sachverhalt erweist sich vor diesem Hintergrund als vollständig abgeklärt. Auf weitere Abklärungen ist in antizipierter Beweiswürdigung zu verzichten, da von solchen keine weiteren relevanten Erkenntnisse zu er- warten sind (BGE 127 V 491 E. 1b S. 494 mit Hinweisen) und entgegen der Beschwerdeführerin auch keine Verletzung der Untersuchungspflicht durch die Beschwerdegegnerin ersichtlich ist. Gestützt auf die RAD-Beurteilungen von Dr. med. B._____ ist damit bezüg- lich der zuletzt ausgeübten Tätigkeit seit dem 16. Februar 2022 von einer 100%igen Arbeitsunfähigkeit und betreffend eine angepasste Tätigkeit ab Ablauf des Wartejahres per 15. Februar 2023 bis am 20. März 2023 eben- falls von einer 100%igen Arbeitsunfähigkeit und anschliessend von einer 100%igen Arbeitsfähigkeit auszugehen (vgl. VB 170 S. 2; 205 S. 3). Ab März 2023 ist damit eine revisionsrechtlich relevante Veränderung des Ge- sundheitszustandes der Beschwerdeführerin ausgewiesen (vgl. E. 2. hier- vor).</w:t>
      </w:r>
    </w:p>
    <w:p>
      <w:r>
        <w:rPr>
          <w:b/>
        </w:rPr>
        <w:t>E. 5</w:t>
      </w:r>
    </w:p>
    <w:p>
      <w:r>
        <w:t>Hinsichtlich der erwerblichen Auswirkungen des Gesundheitsschadens ist – nach dem Gesagten zu Recht – unbestritten, dass die Beschwerdeführe- rin aufgrund der 100%igen Arbeitsunfähigkeit in jeglicher Tätigkeit bis am 20. März 2023 und dem frühestmöglichen Beginn eines allfälligen Renten- anspruchs im Februar 2023 (Anmeldung vom 20. Juni 2022 [VB 163]; Ab- lauf des Wartejahres am 16. Februar 2023 [vgl. E. 4.3. hiervor]; Art. 28 Abs. 1 lit. b i.V.m. Art. 29 Abs. 1 und 3 IVG) ab dem 1. Februar 2023 einen Anspruch auf eine auf einem Invaliditätsgrad von 100 % beruhende ganze Rente hat. Die von der Beschwerdegegnerin zur Bemessung der Invalidität mittels der allgemeinen Methode des Einkommensvergleichs per 20. März 2023 vor- genommene, in einem Invaliditätsgrad von 1 % resultierende Berechnung (VB 222 S. 5) wird von der rechtskundig vertretenen Beschwerdeführerin – nach Lage der Akten zu Recht – sodann nicht substantiiert beanstandet, so dass sich diesbezügliche Weiterungen erübrigen. Hinsichtlich der von der Beschwerdegegnerin vorgenommenen Befristung der Invalidenrente der Beschwerdeführerin per 31. März 2023 (VB 222 S. 4 f.; vgl. Beschwerde S. 3 f.) ist jedoch auf Nachfolgendes hinzuweisen: Eine anspruchsbeein- flussende Änderung für die Herabsetzung oder Aufhebung der Leistung ist</w:t>
      </w:r>
    </w:p>
    <w:p>
      <w:r>
        <w:t>- 11 - von dem Zeitpunkt an zu berücksichtigen, in dem angenommen werden kann, dass sie voraussichtlich längere Zeit dauern wird (Art. 88a Abs. 1 Satz 1 IVV). Sie ist in jedem Fall zu berücksichtigen, nachdem sie ohne wesentliche Unterbrechung drei Monate angedauert hat und voraussicht- lich weiterhin andauern wird (Art. 88a Abs. 1 Satz 2 IVV). Gemäss Recht- sprechung des Bundesgerichts ist in der Regel der zweite Satz dieser Vor- schrift anzuwenden und die bisherige höhere Rente drei Monate über die Veränderung des Gesundheitszustandes hinaus zu gewähren oder zu be- stätigen (Urteil des Bundesgerichts 8C_36/2019 vom 30. April 2019 E. 5 mit Hinweisen). Unter Berücksichtigung dieser dreimonatigen Anpassungs- frist gemäss Art. 88a Abs. 1 Satz 2 IVV ist die mit Wirkung ab dem 1. Februar 2023 zugesprochene ganze Invalidenrente bei einem nicht mehr rentenbegründenden IV-Grad ab dem 20. März 2023 entgegen der Be- schwerdegegnerin nicht per 31. März 2023, sondern per 30. Juni 2023 zu befristen.</w:t>
      </w:r>
    </w:p>
    <w:p>
      <w:r>
        <w:rPr>
          <w:b/>
        </w:rPr>
        <w:t>E. 6.1</w:t>
      </w:r>
    </w:p>
    <w:p>
      <w:r>
        <w:t>Nach dem Dargelegten ist die Beschwerde im Eventualantrag gutzuheis- sen und die angefochtene Verfügung vom 17. Mai 2024 dahingehend ab- zuändern, dass die Beschwerdeführerin vom 1. Februar bis am 30. Juni 2023 Anspruch auf eine ganze Invalidenrente hat.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zu verlegen. Das Obsiegen der Beschwerdeführerin erweist sich als marginal, weshalb ihr Fr. 600.00 und der Beschwerdegegnerin Fr. 200.00 aufzuerlegen sind (§ 31 Abs. 2 VRPG; vgl. Urteile des Bundesgerichts 9C_419/2018 vom 6. September 2018 E. 6.2; 8C_449/2016 vom 2. November 2016 E. 3.2 mit Hinweisen).</w:t>
      </w:r>
    </w:p>
    <w:p>
      <w:r>
        <w:rPr>
          <w:b/>
        </w:rPr>
        <w:t>E. 6.3</w:t>
      </w:r>
    </w:p>
    <w:p>
      <w:r>
        <w:t>Nach Art. 61 lit. g ATSG hat die obsiegende beschwerdeführende Person Anspruch auf Ersatz der Parteikosten. Indessen kommt die Zusprechung einer vollen Parteientschädigung trotz nur teilweisen Obsiegens nur in Frage, wenn die beschwerdeführende Person im Grundsatz obsiegt und lediglich im Masslichen (teilweise) unterliegt (vgl. SVR 2011 IV Nr. 38 S. 112, 9C_580/2010 E. 4.1). So verhält es sich vorliegend jedoch nicht. Die Beschwerdeführerin obsiegt lediglich teilweise, insoweit dass die per 1. Februar 2023 zugesprochene ganze Rente nicht per 31. März 2023, son- dern per 30. Juni 2023 befristet wird. Es rechtfertigt sich damit gesamthaft, zumal die teilweise Gutheissung zudem aus einem Nebenpunkt erfolgte, der Beschwerdeführerin einen Viertel ihrer richterlich festzusetzenden</w:t>
      </w:r>
    </w:p>
    <w:p>
      <w:r>
        <w:t>- 12 - Parteientschädigung von Fr. 2'500.00 (Art. 61 lit. g ATSG), das heisst Fr. 625.00, zuzusprechen (vgl. SVR 2011 IV Nr. 38 S. 112, 9C_580/2010 E. 4.2.2; Urteile des Bundesgerichts 8C_533/2016 vom 18. Oktober 2016 E. 6.2.2, 8C_478/2015 vom 12. Februar 2016 E. 5). Das Versicherungsgericht erkennt: 1. In teilweiser Gutheissung der Beschwerde wird die Verfügung vom 17. Mai 2024 dahingehend abgeändert, dass die Beschwerdeführerin vom 1. Feb- ruar bis am 30. Juni 2023 Anspruch auf eine ganze Invalidenrente hat. 2. Die Verfahrenskosten von Fr. 800.00 werden im Umfang von Fr. 600.00 der Beschwerdeführerin und im Umfang von Fr. 200.00 der Beschwerdegeg- nerin auferlegt. 3. Die Beschwerdegegnerin wird verpflichtet, der Beschwerdeführerin die auf einen Viertel reduzierte Parteientschädigung in der Höhe von Fr. 625.00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w:t>
      </w:r>
    </w:p>
    <w:p>
      <w:r>
        <w:t>- 13 - Aarau, 20. März 2025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