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VBE.2024.340 vom 5. Februar 2025</w:t>
      </w:r>
    </w:p>
    <w:p>
      <w:r>
        <w:t>Ag Versicherungsgericht, 2025-02-05, DE</w:t>
      </w:r>
    </w:p>
    <w:p>
      <w:r>
        <w:rPr>
          <w:b/>
        </w:rPr>
        <w:t xml:space="preserve">Quelle: </w:t>
      </w:r>
      <w:r>
        <w:t>https://mcp.opencaselaw.ch/entscheid/ag_versicherungsgericht_VBE.2024.340</w:t>
      </w:r>
    </w:p>
    <w:p>
      <w:r>
        <w:t>FR: AG_VERSICHERUNGSGERICHT VBE.2024.340 du 5 février 2025</w:t>
      </w:r>
    </w:p>
    <w:p>
      <w:r>
        <w:t>IT: AG_VERSICHERUNGSGERICHT VBE.2024.340 del 5 febbraio 2025</w:t>
      </w:r>
    </w:p>
    <w:p>
      <w:pPr>
        <w:pStyle w:val="Heading2"/>
      </w:pPr>
      <w:r>
        <w:t>Erwägungen</w:t>
      </w:r>
    </w:p>
    <w:p>
      <w:r>
        <w:rPr>
          <w:b/>
        </w:rPr>
        <w:t>E. 4</w:t>
      </w:r>
    </w:p>
    <w:p>
      <w:r>
        <w:t>Kammer Der Präsident: Der Gerichtsschreiber: Roth Schweizer</w:t>
      </w:r>
    </w:p>
    <w:p>
      <w:r>
        <w:rPr>
          <w:b/>
        </w:rPr>
        <w:t>E. 4.1</w:t>
      </w:r>
    </w:p>
    <w:p>
      <w:r>
        <w:t>Nach dem Dargelegten ist die Beschwerde abzuweisen.</w:t>
      </w:r>
    </w:p>
    <w:p>
      <w:r>
        <w:rPr>
          <w:b/>
        </w:rPr>
        <w:t>E. 4.2</w:t>
      </w:r>
    </w:p>
    <w:p>
      <w:r>
        <w:t>Das Verfahren ist kostenlos (Art. 61 lit. fbis ATSG).</w:t>
      </w:r>
    </w:p>
    <w:p>
      <w:r>
        <w:rPr>
          <w:b/>
        </w:rPr>
        <w:t>E. 4.3.1</w:t>
      </w:r>
    </w:p>
    <w:p>
      <w:r>
        <w:t>Der Beschwerdeführerin steht nach dem Ausgang des Verfahrens (Art. 61 lit. g ATSG) und der Beschwerdegegnerin aufgrund ihrer Stellung als Sozialversicherungsträgerin (BGE 126 V 143 E. 4 S. 149 ff.) kein An- spruch auf Parteientschädigung zu.</w:t>
      </w:r>
    </w:p>
    <w:p>
      <w:r>
        <w:rPr>
          <w:b/>
        </w:rPr>
        <w:t>E. 4.3.2</w:t>
      </w:r>
    </w:p>
    <w:p>
      <w:r>
        <w:t>Was die beantragte Kostenübernahme der im Beschwerdeverfahren ein- gereichten Beurteilungen von Dr. med. D._____ anbelangt, ist darauf hin- zuweisen, dass die Kosten eines von einer Partei eingereichten Gutachtens ersetzt wird, wenn sich der Rechtsmittelentscheid darauf abstützt (UELI KIE- SER, ATSG-Kommentar, 4. Auflage, Zürich 2020, N. 27 f. zu Art. 45 ATSG). Nach der Rechtsprechung sind denn auch unter dem Titel Parteientschä- digung die Kosten privat eingeholter Gutachten zu vergüten, soweit die Par- teiexpertise für die Entscheidfindung erforderlich oder entscheidrelevant war (vgl. Urteil des Bundesgerichts 8C_483/2018 vom 11. Dezember 2018 E. 6). Da die im Beschwerdeverfahren eingereichten Beurteilungen von Dr. med. D._____ nicht geeignet waren, die Entscheidfindung des Gerichts zu beeinflussen, hat die Beschwerdeführerin deren Kosten selber zu tra- gen.</w:t>
      </w:r>
    </w:p>
    <w:p>
      <w:r>
        <w:t>- 8 -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Februar 2025 Versicherungsgericht des Kantons Aargau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