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VBE.2024.317 vom 13. Januar 2025</w:t>
      </w:r>
    </w:p>
    <w:p>
      <w:r>
        <w:t>Ag Versicherungsgericht, 2025-01-13, DE</w:t>
      </w:r>
    </w:p>
    <w:p>
      <w:r>
        <w:rPr>
          <w:b/>
        </w:rPr>
        <w:t xml:space="preserve">Quelle: </w:t>
      </w:r>
      <w:r>
        <w:t>https://mcp.opencaselaw.ch/entscheid/ag_versicherungsgericht_VBE.2024.317</w:t>
      </w:r>
    </w:p>
    <w:p>
      <w:r>
        <w:t>FR: AG_VERSICHERUNGSGERICHT VBE.2024.317 du 13 janvier 2025</w:t>
      </w:r>
    </w:p>
    <w:p>
      <w:r>
        <w:t>IT: AG_VERSICHERUNGSGERICHT VBE.2024.317 del 13 gennaio 2025</w:t>
      </w:r>
    </w:p>
    <w:p>
      <w:pPr>
        <w:pStyle w:val="Heading2"/>
      </w:pPr>
      <w:r>
        <w:t>Erwägungen</w:t>
      </w:r>
    </w:p>
    <w:p>
      <w:r>
        <w:rPr>
          <w:b/>
        </w:rPr>
        <w:t>E. 4</w:t>
      </w:r>
    </w:p>
    <w:p>
      <w:r>
        <w:t>unter Kosten- und Entschädigungsfolgen zulasten der Beschwerdegeg- nerin." 2.2. Die Beschwerdegegnerin beantragte mit Vernehmlassung vom 19. Juni 2024 die Abweisung der Beschwerde. 2.3. Mit Eingabe vom 25. November 2024 reichte der Beschwerdeführer eine ergänzende Beschwerdebegründung ein.</w:t>
      </w:r>
    </w:p>
    <w:p>
      <w:r>
        <w:t>- 3 - 2.4. Die Beschwerdegegnerin nahm am 10. Dezember 2024 Stellung zur Ein- gabe des Beschwerdeführers vom 25. November 2024 und hielt an ihrem Antrag auf Abweisung der Beschwerde fest. Das Versicherungsgericht zieht in Erwägung: 1. 1.1. Die Beschwerdegegnerin begründete ihren Einspracheentscheid vom 13. Mai 2024 damit, dass der Beschwerdeführer, der berufskrankheitsbe- dingt an keinen physischen Beeinträchtigungen mehr leide, die ange- stammte Tätigkeit aufgrund der Berufskrankheit nicht mehr ausüben könne, in somatischer Hinsicht indes in jeglicher Tätigkeit, in welcher er nicht in Kontakt zu Mineralölen, Mineralöladditiven und synthetischen Kühlschmier- mitteln komme, zu 100 % arbeitsfähig sei. Unter Berücksichtigung des Um- stands, dass die Berufskrankheit, wenn überhaupt natürlich kausal, so je- denfalls nicht adäquat kausal für die im Verlauf aufgetretene psychische Symptomatik sei, sei er damit in der Lage, ein 20 % unter dem Validenein- kommen liegendes Salär zu erzielen und habe dementsprechend ab 1. Juni 2023 Anspruch auf eine auf einem Invaliditätsgrad von 20 % beruhende Rente (Vernehmlassungsbeilage [VB] 254; vgl. auch Vernehmlassung vom 19. Juni 2024 und Stellungnahme vom 10. Dezember 2024). Der Be- schwerdeführer stellt sich demgegenüber im Wesentlichen sinngemäss auf den Standpunkt, seine psychischen Beschwerden, deretwegen er in jegli- cher Tätigkeit zu 100 % arbeitsunfähig sei, stünden in einem natürlichen und adäquaten Kausalzusammenhang zur Berufskrankheit, weswegen er Anspruch auf eine Invalidenrente habe (Beschwerde S. 2 f.). Bei der Er- mittlung des Invaliditätsgrades sei ihm ein leidensbedingter Abzug vom In- valideneinkommen zu gewähren (Eingabe des Beschwerdeführers vom 25. November 2024). 1.2. Streitig und zu prüfen ist demnach, ob die Beschwerdegegnerin dem Be- schwerdeführer mit Einspracheentscheid vom 13. Mai 2024 (VB 254) für die Folgen der ihr am 21. November 2017 gemeldeten Berufskrankheit zu Recht ab dem 1. Juni 2023 (lediglich) eine auf einer Erwerbsunfähigkeit von 20 % beruhende Invalidenrente zusprach. 2. Nach Lage der Akten steht fest und ist unbestritten, dass der Beschwerde- führer für die angestammte Tätigkeit als Koordinatenschleifer aufgrund ei- ner Berufskrankheit (Handekzeme bei direktem Hautkontakt zu beim Schleifen verwendeten Mineralölen und Mineralöladditiven bzw. synthe-</w:t>
      </w:r>
    </w:p>
    <w:p>
      <w:r>
        <w:t>- 4 - tischen Kühlschmiermitteln; vgl. Art. 9 Abs. 1 UVG i.V.m. Art. 14 Abs. 1 und Anhang 1 UVV) nicht mehr geeignet und aus somatischer Sicht (spätes- tens) seit dem 1. Juni 2023 (nach dem Ende seines Anspruchs auf Über- gangsentschädigung am 31. Mai 2023) in jeglicher Tätigkeit, die keinen Hautkontakt mit den fraglichen Stoffen bedingt, zu 100 % arbeitsfähig ist (vgl. die ärztliche Beurteilung von Dr. med. C._____, Fachärztin für Arbeits- medizin, vom 13. Dezember 2017 in VB 16; VB 100 S. 1). Die Handekzeme heilten gemäss den aktenkundigen Arztberichten folgenlos ab, als der Be- schwerdeführer keinen Kontakt mehr zum Schleifwasser hatte (vgl. den Be- richt des Spitals D._____ vom 29. Mai 2019 in VB 75 S. 2; VB 77). Aus den medizinischen Berichten geht sodann übereinstimmend hervor und ist ebenfalls unbestritten, dass der Beschwerdeführer an psychischen Be- schwerden (Anpassungsstörung mit längerer depressiver Reaktion, gene- ralisierte Angststörung [vgl. VB 78 S. 8; VB 178 S. 5]) leidet (vgl. etwa das psychiatrische Gutachten der Klinik E._____ vom 26. Juni 2019 in VB 78 und das Schreiben von Dr. med. F._____, Facharzt für Psychiatrie und Psychotherapie, vom 26. Februar 2022 in VB 178 S. 4 ff.). 3. 3.1. 3.1.1. Soweit das Gesetz nichts anderes bestimmt, werden die Versicherungs- leistungen bei Berufsunfällen, Nichtberufsunfällen und Berufskrankheiten gewährt (Art. 6 Abs. 1 UVG). Als Berufskrankheiten gelten jene Krankhei- ten (Art. 3 ATSG), die bei der beruflichen Tätigkeit ausschliesslich oder vor- wiegend durch schädigende Stoffe oder bestimmte Arbeiten verursacht worden sind. Berufskrankheiten sind von ihrem Ausbruch an in der Regel einem Berufsunfall gleichgestellt. Sie gelten als ausgebrochen, sobald der Betroffene erstmals ärztlicher Behandlung bedarf oder arbeitsunfähig ist (vgl. Art. 9 Abs. 3 UVG). 3.1.2. Ist der Versicherte infolge der Berufskrankheit zu mindestens 10 % invalid (Art. 8 ATSG), so hat er Anspruch auf eine Invalidenrente, sofern die Be- rufskrankheit vor Erreichen des Referenzalters aufgetreten ist (vgl. Art. 18 Abs. 1 UVG). 3.2. Die Leistungspflicht des Unfallversicherers unter dem Titel "Berufskrank- heit" setzt neben einem natürlichen Kausalzusammenhang zwischen den schädigenden Stoffen, mit denen die versicherte Person bei der beruflichen Tätigkeit in Kontakt kam, bzw. bestimmten Arbeiten, die sie verrichtete, und der Krankheit voraus, dass zwischen der Berufskrankheit und dem einge- tretenen Schaden ein adäquater Kausalzusammenhang besteht (BGE 129 V 177 E. 3.2 S. 181; 129 V 402 E. 2.2 S. 405; 125 V 456 E. 5a S. 461 f.).</w:t>
      </w:r>
    </w:p>
    <w:p>
      <w:r>
        <w:t>- 5 - 3.3. Im Sozialversicherungsrecht spielt die Adäquanz als rechtliche Eingren- zung der sich aus dem natürlichen Kausalzusammenhang ergebenden Haftung des Unfallversicherers im Bereich organisch objektiv ausgewiese- ner Krankheiten, die auf eine Exposition der versicherten Person gegen- über schädigenden Stoffen bei ihrer beruflichen Tätigkeit zurückzuführen sind, praktisch keine Rolle, da sich hier die adäquate weitgehend mit der natürlichen Kausalität deckt (vgl. BGE 134 V 109 E. 2.1 S. 112 mit Hinweis auf BGE 127 V 102 E. 5b/bb S. 103). Anders verhält es sich bei in einem natürlichen Kausalzusammenhang zu einer Berufskrankheit stehenden, aber organisch nicht objektiv ausgewiesenen Beschwerden. Die Adäquanz von psychischen Fehlentwicklungen im Zusammenhang mit Berufskrank- heiten ist danach zu beurteilen, ob die Berufskrankheit oder Geschehnisse in deren Zusammenhang nach dem gewöhnlichen Lauf der Dinge und nach der allgemeinen Lebenserfahrung geeignet ist bzw. sind, psychische Stö- rungen der aufgetretenen Art zu verursachen (BGE 125 V 456; vgl. Urteil des Bundesgerichts 8C_282/2020 vom 3. September 2020 E. 3).</w:t>
      </w:r>
    </w:p>
    <w:p>
      <w:r>
        <w:rPr>
          <w:b/>
        </w:rPr>
        <w:t>E. 4.1</w:t>
      </w:r>
    </w:p>
    <w:p>
      <w:r>
        <w:t>Der Beschwerdeführer begründet sein Vorbringen, wonach seine psychi- schen Beschwerden sowohl in einem natürlichen als auch in einem adä- quaten Kausalzusammenhang zur Berufskrankheit stünden, im Wesentli- chen damit, dass die im Jahr 2017 erstmals aufgetretenen Beeinträchtigun- gen im Zusammenhang mit der Berufskrankheit zu immer länger geworde- nen Fehlzeiten bzw. Abwesenheiten beim Arbeitgeber geführt und diese das Arbeitsklima drastisch verschlechtert hätten (Mobbing). Nachdem dann die Berufskrankheit festgestellt worden sei, sei klar geworden, dass er die bisherige Tätigkeit nicht länger würde ausüben können. Es könne "nach dem gewöhnlichen Lauf der Dinge und der allgemeinen Lebenserfahrung davon ausgegangen werden, dass bei Wegfallen derjenigen beruflichen Tätigkeit, welche man sich selbst ausgesucht hat und in der man jahrelang Erfahrung gesammelt hat, psychische Beschwerde wie derjenigen der ver- sicherten Person aufkommen können" (Beschwerde S. 2 f.).</w:t>
      </w:r>
    </w:p>
    <w:p>
      <w:r>
        <w:rPr>
          <w:b/>
        </w:rPr>
        <w:t>E. 4.2</w:t>
      </w:r>
    </w:p>
    <w:p>
      <w:r>
        <w:t>Ausweislich der Akten hatte der Beschwerdeführer ab Mitte August 2017 juckende Bläschen zwischen den Fingerzwischenräumen (Besuchsrapport vom 30. November 2017 in VB 4), welche in der Folge diagnostisch als to- xische Kontaktdermatitis qualifiziert wurden (vgl. Dokument "Vorcodierung der Berufskrankheiten und Akute Spezifische Schädigungen" vom</w:t>
      </w:r>
    </w:p>
    <w:p>
      <w:r>
        <w:rPr>
          <w:b/>
        </w:rPr>
        <w:t>E. 4.3</w:t>
      </w:r>
    </w:p>
    <w:p>
      <w:r>
        <w:t>Nach dem Gesagten fehlt es somit jedenfalls an einem adäquaten Kausal- zusammenhang zwischen der vorliegenden Berufskrankheit und den psy- chischen Beschwerden des Beschwerdeführers, der im Zeitpunkt des Auf- tretens der Handekzeme im Jahr 2017 schon wiederholt bzw. seit 2013</w:t>
      </w:r>
    </w:p>
    <w:p>
      <w:r>
        <w:t>- 7 - "mehr oder weniger dauernd" (Schreiben von Dr. med. F._____ vom 26. Februar 2022 in VB 178 S. 4) wegen psychischer Beschwerden in Be- handlung gestanden hatte und der anlässlich der von seinem Krankentag- geldversicherer in Auftrag gegebenen psychiatrischen Begutachtung am 14. Juni 2019 angab, bei der letzten Arbeitgeberin schon von Anfang an (Beginn des Arbeitsverhältnisses am 1. November 2012 [vgl. VB 1]) ge- mobbt worden zu sein (vgl. VB 78 S. 6). Die psychischen Beschwerden sind, sofern sie denn überhaupt (zumindest teilweise) in einem natürlichen Kausalzusammenhang zur Berufskrankheit stehen, somit für die Beurtei- lung des Anspruchs auf eine Invalidenrente der Beschwerdegegnerin nicht von Relevanz. Damit ist davon auszugehen, dass der Beschwerdeführer aufgrund seiner Berufskrankheit für die angestammte Tätigkeit zwar nicht mehr geeignet, in jeder anderen Tätigkeit ohne Kontakt zu Mineralölen, Mi- neralöladditiven und synthetischen Kühlmitteln dagegen uneingeschränkt arbeitsfähig ist. 5. 5.1. Die Beschwerdegegnerin ermittelte zur Bemessung der Invalidität mittels der allgemeinen Methode des Einkommensvergleichs (vgl. (BGE 130 V 343 E. 3.4 S. 348 f.; 128 V 29 E. 1 S. 30; Urteil des Bundesgerichts 8C_368/2021 vom 22. Juli 2021 E. 7.2) für das Jahr 2023 gestützt auf die Angaben der ehemaligen Arbeitgeberin des Beschwerdeführers (vgl. VB 228) ein Valideneinkommen von Fr. 83'850.00 (Fr. 6'450.00 x 13). Bei der Festlegung des Invalideneinkommens stützte sich die Beschwerdegeg- nerin auf die Tabelle TA1, Total, Kompetenzniveau 1, der Schweizerischen Lohnstrukturerhebung (LSE) des Bundesamtes für Statistik (BfS) des Jah- res 2020, wobei sie die betriebsübliche wöchentliche Arbeitszeit sowie die Nominallohnentwicklung bis 2023 berücksichtigte. Das Invalideneinkom- men setzte sie dementsprechend auf Fr. 67'197.00 fest. Bei einer Erwerbs- einbusse von Fr. 16'653.00 resultierte somit ein Invaliditätsgrad von 19.86 % (Einspracheentscheid vom 13. Mai 2024 in VB 254). 5.2. In seiner ergänzenden Beschwerdebegründung vom 25. November 2024 brachte der Beschwerdeführer im Wesentlichen vor, ihm sei bei der Fest- setzung des Invalideneinkommens aufgrund des Umstands, dass ihm seine langjährig ausgeübte Tätigkeit nicht mehr möglich sei sowie wegen seines fortgeschrittenen Alters und der Tatsache, dass er Ausländer sei, ein angemessener Abzug vom Tabellenlohn zu gewähren. 5.3. 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w:t>
      </w:r>
    </w:p>
    <w:p>
      <w:r>
        <w:t>- 8 -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134 V 322 E. 5.2 S. 327 f.; 129 V 472 E. 4.2.3 S. 481; 126 V 75 [insbesondere E. 5 S. 78 ff.]). Die Ge- währung oder Verweigerung des Abzuges im Grundsatz ist eine Rechts- frage, die Festlegung des Abzuges bis 25 % eine Ermessensfrage (MEYER/REICHMUTH, Rechtsprechung des Bundesgerichts zum Sozialver- sicherungsrecht, Bundesgesetz über die Invalidenversicherung [IVG], 4. Aufl. 2022, N. 105 ff. zu Art. 28a IVG). 5.4. Für den Beschwerdeführer kommen unter Berücksichtigung (ausschliess- lich) der Berufskrankheit als Verweistätigkeiten jegliche Hilfsarbeitertätig- keiten bzw. Tätigkeiten im untersten Kompetenzniveau, welche keinen Kontakt zu Mineralölen, Mineralöladditiven und synthetischen Kühlmitteln bedingen, in Betracht (vgl. diesbezüglich E. 2. und 4.3.). Hilfsarbeiten wer- den auf dem massgebenden ausgeglichenen Stellenmarkt altersunabhän- gig nachgefragt (BGE 146 V 16 E. 7.2.1 S. 26 f. mit Hinweisen; vgl. auch Urteil des Bundesgerichts 8C_393/2020 vom 21. September 2020 E. 4.2). Gemäss den LSE-Erhebungen wirkt sich das Alter bei Männern im Alters- segment von 50 bis 64/65 bei Stellen ohne Kaderfunktion sogar eher lohn- erhöhend aus. Ob und inwieweit dies auch für jene Versicherten gilt, die sich aufgrund ihrer Invalidität im fortgeschrittenen Alter beruflich neu zu ori- entieren haben, kann offenbleiben. Hingegen lässt sich jedenfalls in gene- reller Form mit den verfügbaren statistischen Angaben auch nicht unter- mauern, dass diese Kategorie von Versicherten unter Berücksichtigung ih- rer kurzen Aktivitätsdauer bis zur Pensionierung nicht mit einem durch- schnittlichen Einkommen rechnen könnten. Und schliesslich wird dem Um- stand, dass die Stellensuche altersbedingt erschwert sein mag (vgl. Ein- gabe des Beschwerdeführers vom 25. November 2024 S. 2), als invalidi- tätsfremdem Faktor bezüglich des Abzugs regelmässig keine Bedeutung beigemessen (vgl. BGE 146 V 16 E. 7.21 S. 26 f. mit Hinweisen). Bei Ver- sicherten, die nach dem Unfall bzw. der Berufskrankheit die Erwerbstätig- keit altershalber nicht mehr aufnehmen oder bei denen sich das vorge- rückte Alter erheblich als Ursache der Beeinträchtigung der Erwerbsfähig- keit auswirkt und bei denen deswegen für die Bestimmung des Invaliditäts- grades die Erwerbseinkommen massgebend sind, die ein Versicherter im</w:t>
      </w:r>
    </w:p>
    <w:p>
      <w:r>
        <w:t>- 9 - mittleren Alter bei einer entsprechenden Gesundheitsschädigung erzielen könnte (vgl. Art. 28 Abs. 4 UVV), fällt ein Abzug zufolge fortgeschrittenen Alters sodann von vornherein ausser Betracht (BGE 148 V 419 E. 8 S. 424 ff.). Für einen altersbedingten Abzug vom Tabellenlohn besteht da- mit vorliegend jedenfalls kein Raum. Was sodann das Kriterium der Dienst- jahre betrifft, ist zu erwähnen, dass die Bedeutung dieses Merkmals im pri- vaten Sektor abnimmt, je niedriger das Anforderungsprofil ist, weshalb der – mit gut sechs Jahren ohnehin nicht sehr langen – Dauer der Betriebszu- gehörigkeit (vgl. das E-Mail der Mitarbeiterin der Personaladministration vom 24. September 2019, wonach das letzte Arbeitsverhältnis des Be- schwerdeführers vom 1. November 2012 bis 31. Januar 2019 gedauert hat) vorliegend keine relevante Bedeutung zukommt (vgl. Urteil des Bundesge- richts 9C_874/2014 vom 2. September 2015 E. 3.3.2). Den weiteren Akten sind keine anderen einen Abzug begründenden Umstände zu entnehmen, weshalb – auch unter Berücksichtigung des ausländerrechtlichen Status des Beschwerdeführers – insgesamt (vgl. zur gesamthaften Schätzung SVR 2021 IV Nr. 7 S. 19, 8C_151/2020 E. 6.3.2, SVR 2020 IV Nr. 50 S. 171, 9C_663/2019 E. 4, und SVR 2017 IV Nr. 91 S. 284, 8C_320/2017 E. 3.3.1) – kein leidensbedingter Abzug zu gewähren ist. Der angefochtene Einspracheentscheid erweist sich demnach im Ergebnis als rechtens, wes- halb die dagegen erhobene Beschwerde abzuweisen ist 6. 6.1. Das Verfahren ist kostenlos (Art. 61 lit. fbis ATSG). 6.2.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Januar 2025 Versicherungsgericht des Kantons Aargau 4. Kammer Der Präsident: Die Gerichtsschreiberin: Roth Reisinger</w:t>
      </w:r>
    </w:p>
    <w:p>
      <w:r>
        <w:rPr>
          <w:b/>
        </w:rPr>
        <w:t>E. 7</w:t>
      </w:r>
    </w:p>
    <w:p>
      <w:r>
        <w:t>September 2017 in VB 15). Bei Meidung des Kontaktes mit Schleifwas- ser oder mindestens mit zusätzlichen Schutzmassnahmen und topischer Therapie, wie der Anwendung von Dermovatecrèmes, klangen die Handek- zeme jeweils ab und der Beschwerdeführer war wieder beschwerdefrei. Gemäss den behandelnden Ärzten zeigte sich ein erfreulicher Verlauf (vgl.</w:t>
      </w:r>
    </w:p>
    <w:p>
      <w:r>
        <w:t>- 6 - den Besuchsrapport vom 30. November 2017 in VB 4; den Bericht von Dr. med. G._____, Fachärztin für Dermatologie und Venerologie, vom 17. Januar 2018 in VB 23, den Bericht des Spitals D._____ vom 23. April 2018 in VB 38 und den Bericht des Spitals D._____ vom 29. Mai 2019 in VB 75). Angesichts dieser Umstände und insbesondere in Anbetracht des erfreulichen Verlaufs unter (lediglich) topischer Behandlung mit gänzlicher Beschwerdefreiheit und ohne verbleibende Folgen der Handekzeme kann nicht gesagt werden, dass die fragliche Berufskrankheit und deren Folgen nach dem gewöhnlichen Lauf der Dinge und nach der allgemeinen Le- benserfahrung geeignet gewesen wären, psychische Beschwerden, wie sie beim Beschwerdeführer bestehen, hervorzurufen. Diesbezüglich ist zu er- wähnen, dass selbst anaphylaktische (und somit potentiell lebensgefährli- che) Reaktionen (vgl. diesbezüglich Pschyrembel, Klinisches Wörterbuch, 269. Aufl. 2023, S. 1579, zum Begriff anaphylaktischer Schock) – im kon- kreten Fall mit rhinokonjunktivistischen Beschwerden, Atemnot, einem da- rauffolgenden Kollaps und notfallmässiger Spitaleinlieferung – rechtspre- chungsgemäss nicht geeignet sind, einen adäquaten Kausalzusammen- hang zwischen einer Berufskrankheit und danach bestehenden psychi- schen Beschwerden zu begründen (BGE 125 V 456 E. 5e S. 464). Am Feh- len eines adäquaten Kausalzusammenhang zwischen den psychischen Beschwerden und der Berufskrankheit ändert auch nichts, dass der Be- schwerdeführer für die angestammte Tätigkeit nicht mehr geeignet ist und seine durch die rezidivierenden Handekzeme bedingten Absenzen bei der Arbeit nach seinen Angaben bis zur Klärung der Ursache der Hautbe- schwerden zu einem ihn psychisch belastenden schlechten Arbeitsklima geführt haben (vgl. dazu auch das Psychiatrische Gutachten der Klinik E._____ vom 26. Juni 2019 in VB 78 S. 2 ff.). So ist es nicht ungewöhnlich, dass eine versicherte Person beim Vorliegen einer Berufskrankheit (wie es auch aufgrund der Folgen anderer Krankheiten und von Unfällen nicht sel- ten der Fall ist) ihren angestammten Beruf aufgeben muss. Trotzdem ent- stehen in solchen Fällen, gerade bei gänzlicher Beschwerdefreiheit hin- sichtlich des als Berufskrankheit qualifizierten Leidens und einer uneinge- schränkten Arbeitsfähigkeit in fast sämtlichen anderen Tätigkeiten auf dem ersten Arbeitsmarkt, erfahrungsgemäss gewöhnlicherweise keine (behand- lungsbedürftigen und/oder eine Arbeitsunfähigkeit zeitigenden) psychi- schen Beschwerden. Es ist deshalb nicht davon auszugehen, dass die hier erwähnten Folgen der Berufskrankheit nach dem gewöhnlichen Lauf der Dinge und nach der allgemeinen Lebenserfahrung geeignet gewesen wä- ren, psychische Beschwerden, wie sie beim Beschwerdeführer bestehen, hervorzurufen.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