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VBE.2024.307 vom 6. November 2024</w:t>
      </w:r>
    </w:p>
    <w:p>
      <w:r>
        <w:t>Ag Versicherungsgericht, 2024-11-06, DE</w:t>
      </w:r>
    </w:p>
    <w:p>
      <w:r>
        <w:rPr>
          <w:b/>
        </w:rPr>
        <w:t xml:space="preserve">Quelle: </w:t>
      </w:r>
      <w:r>
        <w:t>https://mcp.opencaselaw.ch/entscheid/ag_versicherungsgericht_VBE.2024.307</w:t>
      </w:r>
    </w:p>
    <w:p>
      <w:r>
        <w:t>FR: AG_VERSICHERUNGSGERICHT VBE.2024.307 du 6 novembre 2024</w:t>
      </w:r>
    </w:p>
    <w:p>
      <w:r>
        <w:t>IT: AG_VERSICHERUNGSGERICHT VBE.2024.307 del 6 novembre 2024</w:t>
      </w:r>
    </w:p>
    <w:p>
      <w:pPr>
        <w:pStyle w:val="Heading2"/>
      </w:pPr>
      <w:r>
        <w:t>Erwägungen</w:t>
      </w:r>
    </w:p>
    <w:p>
      <w:r>
        <w:rPr>
          <w:b/>
        </w:rPr>
        <w:t>E. 1</w:t>
      </w:r>
    </w:p>
    <w:p>
      <w:r>
        <w:t>Der 1983 geborene Beschwerdeführer war als Lastwagen-Chauffeur bei der B._____ angestellt und in dieser Eigenschaft bei der Beschwerdegeg- nerin obligatorisch gegen die Folgen von Berufs- und Nichtberufsunfällen versichert, als ihm am 6. Juni 2015 ein ca. 300 kg schwerer Rollcontainer in die rechte Ferse rollte. Am 30. Juli 2020 erlitt er sodann beim Laufen eine Verstauchung des rechten Fussgelenkes. Die Beschwerdegegnerin aner- kannte ihre Leistungspflicht im Zusammenhang mit den fraglichen Ereig- nissen und erbrachte in der Folge Heilbehandlungs- und Taggeldleistun- gen. Nach Einholung zweier Aktenbeurteilungen ihres beratenden Arztes erliess sie am 6. Mai 2022 eine leistungsablehnende Verfügung. Mit Ein- spracheentscheid vom 8. Dezember 2022 wies sie die Einsprache ab und stellte die Versicherungsleistungen mangels natürlicher Kausalität des Er- eignisses für die noch geklagten rechtsseitigen Fussbeschwerden per 21. September 2020 ein, soweit sie auf die Einsprache des Beschwerde- führers eintrat. Die gegen diese Verfügung erhobene Beschwerde des Beschwerdeführers hiess das Versicherungsgericht mit Urteil VBE.2023.2 vom 5. Mai 2023 teil- weise gut und wies die Sache zur weiteren Abklärung und zur Neuverfü- gung an die Beschwerdegegnerin zurück. In der Folge liess die Beschwer- degegnerin den Beschwerdeführer durch Dr. med. C._____, Facharzt für Orthopädische Chirurgie und Traumatologie des Bewegungsapparates, begutachten (Gutachten vom 2. Oktober 2023). Mit Verfügung vom 10. Ok- tober 2023 stellte sie ihre Leistungen für das Ereignis vom 6. Juni 2015 per</w:t>
      </w:r>
    </w:p>
    <w:p>
      <w:r>
        <w:rPr>
          <w:b/>
        </w:rPr>
        <w:t>E. 6</w:t>
      </w:r>
    </w:p>
    <w:p>
      <w:r>
        <w:t>September 2015 und für jenes vom 30. Juli 2020 per 30. Oktober 2020 ein. Die dagegen erhobene Einsprache wies sie mit Ein- spracheentscheid vom 13. Mai 2024 ab. 2. 2.1. Gegen den Einspracheentscheid vom 13. Mai 2024 erhob der Beschwer- deführer am 30. Mai 2024 fristgerecht Beschwerde und stellte folgende Rechtsbegehren: "1. Der Einspracheentscheid vom 13.5.2024 sei aufzuheben. 2. Es seien dem Beschwerdeführer die gesetzlichen Leistungen auszu- richten. 3. Eventualiter sei die Beschwerdegegnerin zu verpflichten, ein orthopä- disches Gutachten im Sinne von Art. 44 ATSG im Einigungsverfahren in Aufragt zu geben. Alles unter Kosten- und Entschädigungsfolgen zuzüglich MwSt. zu Lasten der Beschwerdegegnerin"</w:t>
      </w:r>
    </w:p>
    <w:p>
      <w:r>
        <w:t>- 3 - 2.2. Mit Vernehmlassung vom 9. Juli 2024 beantragte die Beschwerdegegnerin die Abweisung der Beschwerde unter Kosten- und Entschädigungsfolge. Das Versicherungsgericht zieht in Erwägung: 1. Streitig und zu prüfen ist, ob die Beschwerdegegnerin mit Einspracheent- scheid vom 13. Mai 2024 (Vernehmlassungsbeilage [VB] I 50; II 174) zu Recht ihre Leistungen im Zusammenhang mit dem Ereignis vom 6. Juni 2015 per 6. September 2015 und mit dem Ereignis vom 30. Juli 2020 per 30. Oktober 2020 eingestellt hat. 2. Vorab ist betreffend das Vorbringen des Beschwerdeführers, er hätte beim Gutachten keine nachträglichen Ergänzungsfragen stellen können (Be- schwerde S. 4), darauf hinzuweisen, dass der Versicherungsträger der Par- tei gemäss Art. 44 Abs. 3 ATSG mit der Bekanntgabe der Namen auch die Fragen an den oder die Sachverständigen zustellt und sie auf die Möglich- keit hinweist, innert der gleichen Frist Zusatzfragen in schriftlicher Form einzureichen. Der Versicherungsträger entscheidet abschliessend über die Fragen an den oder die Sachverständigen. Mit Schreiben vom 8. August 2023 hat die Beschwerdegegnerin dem Be- schwerdeführer den Namen des Gutachters sowie den Fragekatalog be- kannt gegeben und darauf hingewiesen, dass er innert zehn Tagen schrift- lich Zusatzfragen einreichen könne. Dabei wies sie ihn auch darauf hin, dass sie davon ausgehen werde, dass er mit ihrem Vorgehen einverstan- den ist, wenn sie bis dahin nichts von ihm höre (VB II 146). Da der Be- schwerdeführer in der Folge keine Zusatzfragen einreichte, hat die Be- schwerdegegnerin dem Gutachter am 28. August 2023 den Auftrag erteilt (VB II 147). Das Vorgehen der Beschwerdegegnerin kann somit nicht be- anstandet werden. 3. 3.1. Gemäss Art. 6 Abs. 1 UVG werden die Versicherungsleistungen, soweit das Gesetz nichts anderes bestimmt, bei Berufsunfällen, Nichtberufsunfäl- len sowie Berufskrankheiten gewährt. Nach Art. 10 UVG hat die versicherte Person Anspruch auf eine zweckmässige Behandlung der Unfallfolgen. Ge- mäss Art. 16 Abs. 1 UVG hat sie zudem Anspruch auf ein Taggeld, wenn sie infolge des Unfalls voll oder teilweise arbeitsunfähig ist.</w:t>
      </w:r>
    </w:p>
    <w:p>
      <w:r>
        <w:t>- 4 - 3.2.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 3.3.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 3.4. 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(Urteil des Bundesge- richts 8C_669/2019 vom 25. März 2020 E. 2.2). Ebenso wie der leistungs- begründende natürliche Kausalzusammenhang muss das Dahinfallen je- der kausalen Bedeutung von unfallbedingten Ursachen eines Gesundheits- schadens mit dem im Sozialversicherungsrecht allgemein üblichen Beweis- grad der überwiegenden Wahrscheinlichkeit nachgewiesen sein. Die blosse Möglichkeit nunmehr gänzlich fehlender ursächlicher Auswirkungen des Unfalls genügt nicht. Da es sich hierbei um eine anspruchsaufhebende</w:t>
      </w:r>
    </w:p>
    <w:p>
      <w:r>
        <w:t>- 5 - Tatfrage handelt, liegt die entsprechende Beweislast - anders als bei der Frage, ob ein leistungsbegründender natürlicher Kausalzusammenhang gegeben ist - nicht beim Versicherten, sondern beim Unfallversicherer (BGE 146 V 51 E. 5.1 S. 56). Diese Beweisgrundsätze gelten sowohl im Grundfall als auch bei Rückfällen und Spätfolgen und sind für sämtliche Leistungsarten massgebend. Diese Rechtsprechung beschlägt dabei ein- zig die rechtlichen Folgen der Abklärung, insofern als dem Unfallversiche- rer die Beweislast zugewiesen wird für den Fall, dass ungeklärt bleibt, ob dem Unfall (noch) eine kausale Bedeutung für den andauernden Gesund- heitsschaden zukommt. Bevor sich aber überhaupt die Frage der Beweis- last stellt, ist der Sachverhalt im Rahmen des Untersuchungsgrundsatzes richtig und vollständig zu klären (SVR 2009 UV Nr. 3 S. 9, 8C_354/2007 E. 2.2 mit Hinweisen). 4. Die Beschwerdegegnerin stützte sich in ihrem Einspracheentscheid vom 13. Mai 2024 (VB I 50; II 174) im Wesentlichen auf das Gutachten von Dr. med. C._____ vom 2. Oktober 2023. Dieser stellte die Diagnose eines Supinationstraumas OSG rechts am 30. Juli 2020 und führte aus, in Anbe- tracht der bildgebenden Verfahren sei bereits nach der direkten Kontusion des Sprunggelenks im Jahr 2015, wo keine Supination erfolgt sei, eine in- terstitielle Partialruptur der Peroneus brevis Sehne dokumentiert. Der Un- fallmechanismus passe nicht zur Entwicklung der Ruptur der Sehne. Beim Eingriff im Jahr 2016 sei intraoperativ makroskopisch keine Läsion der Sehne gesehen worden, da diese interstitiell gewesen sei. Auch ohne Trauma zeige sich eine Vergrösserung der interstitiellen Läsion im MRI des Jahres 2017. Auch nach dem Supinationstrauma im Jahr 2020 zeige sich ein identischer Befund ohne komplette Ruptur der Sehne im MRI vom 21. September 2020. Die interstitielle Ruptur der Peronealsehne sei somit schon vorbestehend vor dem Ereignis des Jahres 2015 gewesen, da sie sich bereits ohne Retraumatisierung im Jahr 2017 vergrössert habe. Diese Läsion sei deshalb nicht ereigniskausal betreffend die Ereignisse der Jahre 2015 und 2020. Die Berichte nach den Ereignissen der Jahre 2015 und 2020 würden keine Rupturen des lateralen Bandapparates zeigen. Die Elongation des lateralen Bandapparates sei durch die leicht varische Achse des Rückfusses bedingt. Die Behandlung der Instabilität sei daher nur mög- licherweise bedingt durch das Ereignis des Jahres 2020. Beide Ereignisse hätten bezüglich Peronealsehnen und des lateralen Bandapparates nur zu einer vorübergehenden Verschlechterung geführt. Die neuropathischen Schmerzen seien am ehesten durch den operativen Eingriff bedingt. Der Status quo sine nach dem Ereignis vom 6. Juni 2015 sei am 6. September 2015 und jener nach dem Ereignis vom 30. Juli 2020 am 30. Oktober 2020 erreicht gewesen (VB I 39 S. 22 f.; VB II 162 S. 22 f.).</w:t>
      </w:r>
    </w:p>
    <w:p>
      <w:r>
        <w:t>- 6 - 5. 5.1.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Ausschlaggebend für den Be- weiswert ist grundsätzlich somit weder die Herkunft eines Beweismittels noch die Bezeichnung der eingereichten oder in Auftrag gegebenen Stel- 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5.2.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 5.3. Der Beschwerdeführer wurde zur Erstellung des Gutachtens vom 2. Oktober 2023 fachärztlich umfassend untersucht. Der Gutachter beur- teilte die medizinischen Zusammenhänge sowie die medizinische Situation in Kenntnis der Vorakten (VB I 39 S. 5 ff.; VB II 162 S. 5 ff.) und unter Be- rücksichtigung der geklagten Beschwerden einleuchtend und gelangte zu einer nachvollziehbar begründeten Schlussfolgerung. Dem Gutachten kommt damit grundsätzlich Beweiswert im Sinne vorstehender Kriterien zu.</w:t>
      </w:r>
    </w:p>
    <w:p>
      <w:r>
        <w:rPr>
          <w:b/>
        </w:rPr>
        <w:t>E. 6.1</w:t>
      </w:r>
    </w:p>
    <w:p>
      <w:r>
        <w:t>Der Beschwerdeführer bestreitet den Beweiswert des Gutachtens von Dr. med. C._____ mit Verweis auf einen Bericht von Dr. med. D._____, Facharzt für Orthopädische Chirurgie und Traumatologie des Bewegungs- apparates, vom 2. November 2023 mit einem Nachtrag vom 6. November</w:t>
      </w:r>
    </w:p>
    <w:p>
      <w:r>
        <w:t>- 7 - 2023 (Beschwerde S. 5 f.). Dieser führte darin aus, dass Anamnese und Befund vom Gutachter gut dokumentiert worden seien. Die Ausführungen des Gutachters, die Tendinose der Peroneus brevis-Sehne mit interstitieller Ruptur sei degenerativ bedingt und posttraumatische Läsionen an den Sehnen würden nicht beschrieben, seien jedoch nicht nachvollziehbar. Der Beschwerdeführer sei beim Unfallereignis erst 32 Jahre alt gewesen. Die Postulierung eines degenerativen Schadens sei nicht nachvollziehbar und eine Tendinose der Peroneus brevis-Sehne mit interstitieller Ruptur sei de- finitiv als eine posttraumatische Läsion der Sehne zu werten. Dass die in- terstitielle Läsion der Peronealsehne schon vorbestehend vor dem Ereignis im Jahr 2015 gewesen sei und sich diese bereits ohne Retraumatisierung im Jahr 2015 vergrössert habe, weshalb diese Läsion zu den Unfallereig- nissen in den Jahren 2015 und 2020 nicht kausal sei, sei ebenfalls nicht nachvollziehbar. Der Schaden sei beim Ereignis im Jahr 2015 eingetreten und habe sich nach dem primären Unfallereignis verschlechtert. Die Tatsa- che, dass es nach einem weiteren Unfall nicht zu einer kompletten Ruptur gekommen sei, habe keinerlei Aussagekraft dafür, dass die Verletzung nicht ereigniskausal sei. Dass die interstitielle Ruptur der Peroneus brevis- Sehne bei einem 32-jährigen Mann, der vorher keinerlei OSG-Beschwer- den gehabt habe, als degenerativ gewertet werde, sei seines Erachtens falsch. Es sei mit überwiegender Wahrscheinlichkeit unfallbedingt zu wer- ten (VB I 43 S. 12 f.; VB II 166 S. 12 f.).</w:t>
      </w:r>
    </w:p>
    <w:p>
      <w:r>
        <w:rPr>
          <w:b/>
        </w:rPr>
        <w:t>E. 6.2</w:t>
      </w:r>
    </w:p>
    <w:p>
      <w:r>
        <w:t>Dr. med. D._____ wies zur Begründung, weshalb die Tendinose der Pe- roneus brevis-Sehne mit interstitieller Ruptur seiner Ansicht nach definitiv eine posttraumatische Läsion sei und diese und damit auch die Beschwer- den des Beschwerdeführers mit überwiegender Wahrscheinlichkeit als un- fallbedingt zu werten seien, lediglich auf das im Unfallzeitpunkt noch junge Alter des Beschwerdeführers von 32 Jahren sowie die Tatsache hin, dass der Beschwerdeführer vor den Unfallereignissen noch keine OSG-Be- schwerden gehabt habe. Eine gesundheitliche Schädigung gilt jedoch nicht schon dann als durch den Unfall verursacht, weil sie nach diesem aufge- treten ist. Eine derartige "post hoc, ergo propter hoc"-Argumentation ist be- weisrechtlich nicht zulässig (BGE 119 V 335 E. 2b/bb S. 341 f.; vgl. auch SVR 2010 UV Nr. 10 S. 40, 8C_626/2009 E. 3.2 sowie SVR 2008 UV Nr. 11 S. 34, U 290/06 E. 4.2.3). Zudem ist der Erfahrungstatsache Rech- nung zu tragen, dass behandelnde Ärztinnen und Ärzte nicht nur in der Funktion als Hausärzte (BGE 135 V 465 E. 4.5 S. 470 f.; 125 V 351 E. 3a/cc S. 353), sondern auch als spezialärztlich behandelnde Medizinal- personen im Hinblick auf ihre auftragsrechtliche Vertrauensstellung in Zweifelsfällen mitunter eher zugunsten ihrer Patientinnen und Patienten aussagen (vgl. Urteil des Bundesgerichts 8C_515/2020 vom 14. Oktober 2020 E. 4.2.3 mit Hinweisen). Der Bericht von Dr. med. D._____ vom 2. be- ziehungsweise 6. November 2023 vermag somit keine konkreten Indizien</w:t>
      </w:r>
    </w:p>
    <w:p>
      <w:r>
        <w:t>- 8 - gegen die Zuverlässigkeit des Gutachtens vom 2. Oktober 2023 zu schaf- fen.</w:t>
      </w:r>
    </w:p>
    <w:p>
      <w:r>
        <w:rPr>
          <w:b/>
        </w:rPr>
        <w:t>E. 6.3</w:t>
      </w:r>
    </w:p>
    <w:p>
      <w:r>
        <w:t>Zusammenfassend ergeben sich weder aus den Ausführungen des Be- schwerdeführers noch den medizinischen Akten Hinweise, welche Zwei- fel an der Schlüssigkeit und Vollständigkeit des Gutachtens von Dr. med. C._____ vom 2. Oktober 2023 erweckten. Diesem kommt somit voller Beweiswert zu. Die Beschwerdegegnerin hat folglich zu Recht darauf abgestellt. Der medizinische Sachverhalt erweist sich vor diesem Hinter- grund insgesamt als vollständig abgeklärt. Auf die Einholung weiterer Be- weismittel (vgl. Beschwerde S. 6) kann verzichtet werden, da von solchen keine weiteren Erkenntnisse zu erwarten sind (antizipierte Beweiswürdi- gung; BGE 127 V 491 E. 1b S. 494 mit Hinweisen; SVR 2001 IV Nr. 10 S. 27 E. 4). Damit ist die im Zusammenhang mit dem Ereignis vom 6. Juni 2015 per 6. September 2015 und mit dem Ereignis vom 30. Juli 2020 per 30. Oktober 2020 erfolgte Leistungseinstellung durch die Beschwerdegeg- nerin nicht zu beanstanden.</w:t>
      </w:r>
    </w:p>
    <w:p>
      <w:r>
        <w:rPr>
          <w:b/>
        </w:rPr>
        <w:t>E. 7.1</w:t>
      </w:r>
    </w:p>
    <w:p>
      <w:r>
        <w:t>Nach dem Dargelegten ist die Beschwerde abzuweisen.</w:t>
      </w:r>
    </w:p>
    <w:p>
      <w:r>
        <w:rPr>
          <w:b/>
        </w:rPr>
        <w:t>E. 7.2</w:t>
      </w:r>
    </w:p>
    <w:p>
      <w:r>
        <w:t>Das Verfahren ist kostenlos (Art. 61 lit. fbis ATSG).</w:t>
      </w:r>
    </w:p>
    <w:p>
      <w:r>
        <w:rPr>
          <w:b/>
        </w:rPr>
        <w:t>E. 7.3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6. November 2024 Versicherungsgericht des Kantons Aargau 1. Kammer Der Präsident: Die Gerichtsschreiberin: Kathriner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