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VBE.2024.285 vom 12. Dezember 2024</w:t>
      </w:r>
    </w:p>
    <w:p>
      <w:r>
        <w:t>Ag Versicherungsgericht, 2024-12-12, DE</w:t>
      </w:r>
    </w:p>
    <w:p>
      <w:r>
        <w:rPr>
          <w:b/>
        </w:rPr>
        <w:t xml:space="preserve">Quelle: </w:t>
      </w:r>
      <w:r>
        <w:t>https://mcp.opencaselaw.ch/entscheid/ag_versicherungsgericht_VBE.2024.285</w:t>
      </w:r>
    </w:p>
    <w:p>
      <w:r>
        <w:t>FR: AG_VERSICHERUNGSGERICHT VBE.2024.285 du 12 décembre 2024</w:t>
      </w:r>
    </w:p>
    <w:p>
      <w:r>
        <w:t>IT: AG_VERSICHERUNGSGERICHT VBE.2024.285 del 12 dicembre 2024</w:t>
      </w:r>
    </w:p>
    <w:p>
      <w:pPr>
        <w:pStyle w:val="Heading2"/>
      </w:pPr>
      <w:r>
        <w:t>Erwägungen</w:t>
      </w:r>
    </w:p>
    <w:p>
      <w:r>
        <w:rPr>
          <w:b/>
        </w:rPr>
        <w:t>E. 4</w:t>
      </w:r>
    </w:p>
    <w:p>
      <w:r>
        <w:t>bzw. 27. Januar 2017 (VB 26.2 und 26.3), welche er für beweiskräftig befand, aus, dass er für die Zeit von März 2016 "bis zum neurologischen Gutachten" (27. Januar 2017) von einer vollen Arbeitsunfähigkeit auch in einer angepassten Tätigkeit ausgehe. Aus psychiatrischer Sicht sei die Ar- beitsfähigkeit (in der angestammten sowie einer angepassten Tätigkeit) nicht eingeschränkt. Aus neurologischer Sicht bestehe ab dem neurologi- schen Gutachten (27. Januar 2017) eine volle Arbeitsfähigkeit in einer</w:t>
      </w:r>
    </w:p>
    <w:p>
      <w:r>
        <w:t>- 6 - angepassten Tätigkeit. Zur präzisen Festlegung der Arbeitsfähigkeit in der angestammten Tätigkeit wäre noch eine orthopädische Untersuchung nö- tig, falls die Hüftschmerzen persistieren (VB 29 S. 5 ff., insbesondere S. 7). Im neurologischen Gutachten vom 27. Januar 2017 waren Kreuz-Hüft- schmerzen rechts bei bekannter degenerativer Erkrankung der Lendenwir- belsäule, derzeit ohne Anhalt für eine radikuläre oder nervale Schmerzge- nese, diagnostiziert worden (VB 26.3 S. 12).</w:t>
      </w:r>
    </w:p>
    <w:p>
      <w:r>
        <w:rPr>
          <w:b/>
        </w:rPr>
        <w:t>E. 4.1.1</w:t>
      </w:r>
    </w:p>
    <w:p>
      <w:r>
        <w:t>Was die Arbeitsfähigkeit der Beschwerdeführerin in der Zeit ab 1. März 2016 (vgl. Art. 28 Abs. 1 lit. b IVG) anbelangt, führte RAD-Arzt Dr. med. C._____ in seiner Beurteilung vom 15. März 2017 (VB 29) unter Hinweis auf das neurologische und das psychiatrische Gutachten des B._____ vom</w:t>
      </w:r>
    </w:p>
    <w:p>
      <w:r>
        <w:rPr>
          <w:b/>
        </w:rPr>
        <w:t>E. 4.1.2</w:t>
      </w:r>
    </w:p>
    <w:p>
      <w:r>
        <w:t>Die angefochtene Verfügung vom 2. Februar 2024 beruht in medizinischer Hinsicht im Wesentlichen auf dem polydisziplinären (allgemeininternistisch- psychiatrisch-rheumatologischen) ABI-Gutachten vom 23. November 2022, wonach die Beschwerdeführerin – nebst verschiedenen sich nicht auf die Arbeitsfähigkeit auswirkenden Gesundheitsstörungen (u.a. einer re- zidivierenden depressiven Störung, gegenwärtig leichte Episode, und ei- nem chronischen myogelotisch bedingten zervikoscapulärem bis zerviko- brachialem Schmerzsyndrom) – an einer die Arbeitsfähigkeit einschränken- den posttraumatischen Belastungsstörung und einem chronischen lumbos- pondylogenen Schmerzsyndrom rechts leide. In der zuletzt ausgeübten Tä- tigkeit (Büroangestellte in der Firma des Ehemanns) und in einer angepass- ten, körperlich leichten bis intermittierend mittelschweren, wechselbelas- tenden Tätigkeit mit optimaler Arbeitsplatzergonomie und der Möglichkeit, ihre Arbeitsposition regelmässig selbstständig zu wechseln, könne die Be- schwerdeführerin – "nach vorangehend nicht dokumentierter länger andau- ernder höhergradiger Arbeitsunfähigkeit" – seit November 2018 zwar acht Stunden pro Tag anwesend sein, dabei bestehe jedoch eine Einschrän- kung der Leistungsfähigkeit bei erhöhtem Pausenbedarf und reduziertem Rendement, weshalb insgesamt eine 80%ige Arbeitsfähigkeit bestehe. Un- günstig seien stets monotone, stehende oder sitzende Tätigkeiten und Ar- beiten mit stereotypen fliessbandähnlichen Rotationsbewegungen der HWS oder LWS oder solche stets in Oberkörpervorneige- oder Rückhal- teposition (VB 99 S. 21 f.).</w:t>
      </w:r>
    </w:p>
    <w:p>
      <w:r>
        <w:rPr>
          <w:b/>
        </w:rPr>
        <w:t>E. 4.2</w:t>
      </w:r>
    </w:p>
    <w:p>
      <w:r>
        <w:t>Betreffend den Zeitraum von fast zwei Jahren zwischen der Beurteilung von Dr. med. C._____ vom 15. März 2017, wonach ab dem 27. Januar 2017 eine 100%ige Arbeitsfähigkeit in einer angepassten Tätigkeit bestand (vgl. VB 29 S. 7), und November 2018, dem Zeitpunkt, ab welchem gemäss ABI-Gutachten vom 23. November 2022 eine Arbeitsfähigkeit von 80 % in der bisherigen und in einer angepassten Tätigkeit besteht (E. 4.1.2.), sind den Akten keine medizinischen Berichte zu entnehmen. Die Gutachter des ABI hielten denn diesbezüglich auch fest, dass die von ihnen attestierte Arbeitsunfähigkeit "[n]ach vorangehend nicht dokumentierter länger andau- ernder höhergradiger Arbeitsunfähigkeit" seit November 2018 angenom- men werden könne (vgl. VB 99 S. 21). Es kann somit einerseits nicht beur- teilt werden, ob die Hüftschmerzen ab März 2017 persistiert haben und zu</w:t>
      </w:r>
    </w:p>
    <w:p>
      <w:r>
        <w:t>- 7 - einer Einschränkung der Arbeitsfähigkeit der Beschwerdeführerin (auch) in der angestammten Tätigkeit als Produktionsmitarbeiterin geführt haben, und es ist auch unklar, ob die daraufhin von der Beschwerdeführerin (ledig- lich im Teilzeitpensum nach zuvor 100%iger Erwerbstätigkeit [vgl. VB 11]) ausgeübte Tätigkeit als Büroangestellte im Unternehmen des Ehemanns, auf welche die Gutachter des ABI bei der Beurteilung der Arbeitsfähigkeit "in der bisherigen Tätigkeit" abstellten (vgl. VB 99 S. 21), als angestammte (wie die Beschwerdegegnerin in der angefochtenen Verfügung annahm [vgl. VB 120 S. 1]) oder als angepasste Tätigkeit zu werten ist.</w:t>
      </w:r>
    </w:p>
    <w:p>
      <w:r>
        <w:rPr>
          <w:b/>
        </w:rPr>
        <w:t>E. 5</w:t>
      </w:r>
    </w:p>
    <w:p>
      <w:r>
        <w:t>Zusammenfassend hat die Beschwerdegegnerin einen Rentenanspruch der Beschwerdeführerin zu Unrecht erst für die Zeit ab Oktober 2020 und nicht bereits ab März 2017 geprüft (E. 3.3.). Der anspruchsrelevante medi- zinische Sachverhalt ab März 2016, insbesondere in der Periode zwischen März 2017 und November 2018, ist aufgrund der unzureichenden entspre- chenden Abklärungen der Beschwerdegegnerin nicht erstellt. Eine Beurtei- lung des Anspruchs der Beschwerdeführerin auf eine Invalidenrente ab dem Zeitpunkt des frühestmöglichen Anspruchsbeginns (März 2017) ist deshalb aktuell nicht möglich. Die Sache ist daher an die Beschwerdegeg- nerin zurückzuweisen, damit diese weitere medizinische Abklärungen tä- tige (vgl. Urteil des Bundesgerichts 8C_725/2021 vom 30. November 2021; siehe ferner statt vieler BGE 137 V 210 E. 4.4.1.4 S. 264 f. mit Hinweisen) und danach neu über den Anspruch der Beschwerdeführerin auf eine Inva- lidenrente ab März 2017 verfüge.</w:t>
      </w:r>
    </w:p>
    <w:p>
      <w:r>
        <w:rPr>
          <w:b/>
        </w:rPr>
        <w:t>E. 6.1</w:t>
      </w:r>
    </w:p>
    <w:p>
      <w:r>
        <w:t>Nach dem Dargelegten ist die Beschwerde in dem Sinne gutzuheissen, dass die angefochtene Verfügung vom 2. Februar 2024 aufzuheben und die Sache zur weiteren Abklärung und zur Neuverfügung an die Beschwer- degegnerin zurückzuweisen ist.</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6.3</w:t>
      </w:r>
    </w:p>
    <w:p>
      <w:r>
        <w:t>Ausgangsgemäss hat die Beschwerdeführerin Anspruch auf Ersatz der richterlich festzusetzenden Parteikosten (Art. 61 lit. g ATSG), denn die Rückweisung der Sache and die Verwaltung zwecks Vornahme ergänzen- der Abklärungen gilt als anspruchsbegründendes Obsiegen (BGE 132 V 215 E. 6.1 S. 235 mit Hinweisen).</w:t>
      </w:r>
    </w:p>
    <w:p>
      <w:r>
        <w:t>- 8 - Das Versicherungsgericht erkennt: 1. In teilweiser Gutheissung der Beschwerde wird die Verfügung vom 2. Februar 2024 aufgehoben und die Sache zur weiteren Abklärung im Sinne der Erwägungen und zur Neuverfügung an die Beschwerdegegnerin zurückgewiesen. 2. Die Verfahrenskosten von Fr. 800.00 werden der Beschwerdegegnerin auf- erlegt. 3. Die Beschwerdegegnerin wird verpflichtet, der Beschwerdeführerin die Parteikosten in richterlich festgesetzter Höhe von Fr. 2'500.00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der Beschwerdeführerin oder ihres Vertreters zu enthalten; der angefochtene Entscheid sowie die als Beweis- mittel angerufenen Urkunden sind beizulegen, soweit die Partei sie in Hän- den hat (Art. 42 BGG). Aarau, 12. Dezember 2024 Versicherungsgericht des Kantons Aargau 4. Kammer Der Präsident: Die Gerichtsschreiberin: Roth Reisinger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