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VBE.2024.270 vom 19. Dezember 2024</w:t>
      </w:r>
    </w:p>
    <w:p>
      <w:r>
        <w:t>Ag Versicherungsgericht, 2024-12-19, DE</w:t>
      </w:r>
    </w:p>
    <w:p>
      <w:r>
        <w:rPr>
          <w:b/>
        </w:rPr>
        <w:t xml:space="preserve">Quelle: </w:t>
      </w:r>
      <w:r>
        <w:t>https://mcp.opencaselaw.ch/entscheid/ag_versicherungsgericht_VBE.2024.270</w:t>
      </w:r>
    </w:p>
    <w:p>
      <w:r>
        <w:t>FR: AG_VERSICHERUNGSGERICHT VBE.2024.270 du 19 décembre 2024</w:t>
      </w:r>
    </w:p>
    <w:p>
      <w:r>
        <w:t>IT: AG_VERSICHERUNGSGERICHT VBE.2024.270 del 19 dicembre 2024</w:t>
      </w:r>
    </w:p>
    <w:p>
      <w:pPr>
        <w:pStyle w:val="Heading2"/>
      </w:pPr>
      <w:r>
        <w:t>Erwägungen</w:t>
      </w:r>
    </w:p>
    <w:p>
      <w:r>
        <w:rPr>
          <w:b/>
        </w:rPr>
        <w:t>E. 2</w:t>
      </w:r>
    </w:p>
    <w:p>
      <w:r>
        <w:t>Streitig und zu prüfen ist, ob die Beschwerdegegnerin das Rentenbegehren der Beschwerdeführerin mit Verfügung vom 10. April 2024 (Vernehmlas- sungsbeilage [VB] 165) zu Recht abgewiesen hat.</w:t>
      </w:r>
    </w:p>
    <w:p>
      <w:r>
        <w:rPr>
          <w:b/>
        </w:rPr>
        <w:t>E. 2.1</w:t>
      </w:r>
    </w:p>
    <w:p>
      <w:r>
        <w:t>Gegen die Verfügung vom 10. April 2024 betreffend einen Anspruch auf eine Invalidenrente erhob die Beschwerdeführerin mit Eingabe vom 16. Mai 2024 ebenfalls fristgerecht Beschwerde und stellte folgende Rechtsbegeh- ren:</w:t>
      </w:r>
    </w:p>
    <w:p>
      <w:r>
        <w:t>- 3 - "1. Die Verfügung der IV-Stelle Aargau vom 10. April 2024 sei aufzuhe- ben und die Beschwerdegegnerin sei zu verpflichten, der Beschwer- deführerin die gesetzlichen Leistungen auszurichten.</w:t>
      </w:r>
    </w:p>
    <w:p>
      <w:r>
        <w:rPr>
          <w:b/>
        </w:rPr>
        <w:t>E. 2.2</w:t>
      </w:r>
    </w:p>
    <w:p>
      <w:r>
        <w:t>Mit Vernehmlassung vom 14. August 2024 beantragte die Beschwerdegeg- nerin die Abweisung der Beschwerde.</w:t>
      </w:r>
    </w:p>
    <w:p>
      <w:r>
        <w:rPr>
          <w:b/>
        </w:rPr>
        <w:t>E. 2.3</w:t>
      </w:r>
    </w:p>
    <w:p>
      <w:r>
        <w:t>Mit instruktionsrichterlicher Verfügung vom 27. August 2024 wurde die Aar- gauische Pensionskasse APK, Aarau, als berufliche Vorsorgeeinrichtung der Beschwerdeführerin, im Verfahren beigeladen und ihr Gelegenheit zur Stellungnahme gegeben.</w:t>
      </w:r>
    </w:p>
    <w:p>
      <w:r>
        <w:rPr>
          <w:b/>
        </w:rPr>
        <w:t>E. 2.4</w:t>
      </w:r>
    </w:p>
    <w:p>
      <w:r>
        <w:t>Mit Eingabe vom 4. September 2024 verzichtete die Beigeladene auf eine Stellungnahme.</w:t>
      </w:r>
    </w:p>
    <w:p>
      <w:r>
        <w:rPr>
          <w:b/>
        </w:rPr>
        <w:t>E. 2.5</w:t>
      </w:r>
    </w:p>
    <w:p>
      <w:r>
        <w:t>Mit Eingabe vom 9. Oktober 2024 reichte die Beschwerdeführerin eine Stel- lungnahme zur Vernehmlassung der Beschwerdegegnerin vom 14. August 2024 ein. Das Versicherungsgericht zieht in Erwägung: 1. Vorab ist in Bezug auf den Antrag der Beschwerdeführerin auf Vereinigung des vorliegenden Verfahrens mit dem Verfahren VBE.2024.271 darauf hin- zuweisen, dass Art. 61 ATSG keine Regelung betreffend die Vereinigung von erstinstanzlichen Beschwerdeverfahren in bundessozialversicherungs- rechtlichen Streitigkeiten enthält. Ein entsprechender Anspruch der Be- schwerdeführerin auf Vereinigung der Verfahren besteht demnach nicht. Im Übrigen sind die im Streite stehenden Leistungen (Rente, Hilfsmittel) nicht auf denselben tatsächlichen Grundlagen (Sachverhalt) zu beurteilen (vgl. Urteil des Bundesgerichts 9C_420/2018 vom 5. Oktober 2018 E. 3.2.). Die Vereinigung des vorliegenden Verfahrens mit dem Verfahren VBE.2024.271 ist daher nicht angezeigt.</w:t>
      </w:r>
    </w:p>
    <w:p>
      <w:r>
        <w:t>- 4 -</w:t>
      </w:r>
    </w:p>
    <w:p>
      <w:r>
        <w:rPr>
          <w:b/>
        </w:rPr>
        <w:t>E. 3</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 sind (Art. 28 Abs. 1 IVG).</w:t>
      </w:r>
    </w:p>
    <w:p>
      <w:r>
        <w:rPr>
          <w:b/>
        </w:rPr>
        <w:t>E. 4</w:t>
      </w:r>
    </w:p>
    <w:p>
      <w:r>
        <w:t>Asthma bronchiale (ED 2017) mit St. n. schwergradiger bronchialer Hyperreagibilität 09/2017 (ICD-10: J45.9)</w:t>
      </w:r>
    </w:p>
    <w:p>
      <w:r>
        <w:rPr>
          <w:b/>
        </w:rPr>
        <w:t>E. 5</w:t>
      </w:r>
    </w:p>
    <w:p>
      <w:r>
        <w:t>Rezidivierende Harnwegsinfekte (ICD-10: N30.3)</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6.</w:t>
      </w:r>
    </w:p>
    <w:p>
      <w:r>
        <w:rPr>
          <w:b/>
        </w:rPr>
        <w:t>E. 6</w:t>
      </w:r>
    </w:p>
    <w:p>
      <w:r>
        <w:t>St. n. kleine Soleusmuskelvenenthrombose lateral rechts mit kleinem Zapfen in der V. fibularis, (am ehesten unter oraler Kontrazeption) 09/2017 (ICD-10: I80.3)</w:t>
      </w:r>
    </w:p>
    <w:p>
      <w:r>
        <w:rPr>
          <w:b/>
        </w:rPr>
        <w:t>E. 6.1</w:t>
      </w:r>
    </w:p>
    <w:p>
      <w:r>
        <w:t>Die Beschwerdeführerin bringt vor, das SMAB-Gutachten vom 29. Juni 2023 beruhe nicht auf allseitigen Untersuchungen, berücksichtige ihre Be- schwerden (Kniesteifigkeit rechts, Schmerzen und Sensibilitätsstörungen am rechten Bein; Verlauf der Beschwerdeintensität während eines Arbeits- tages) nicht und sei nicht in hinreichender Kenntnis der Vorakten abgege- ben worden. Zudem sei das SMAB-Gutachten weder in der Darstellung der medizinischen Zusammenhänge einleuchtend noch in der Beurteilung der medizinischen Situation nachvollziehbar; abweichende Aussagen in den Akten würden darin nicht eingehend diskutiert und begründet. Dem SMAB- Gutachten komme aus diesen Gründen kein Beweiswert zu (Beschwerde S. 9 ff.).</w:t>
      </w:r>
    </w:p>
    <w:p>
      <w:r>
        <w:rPr>
          <w:b/>
        </w:rPr>
        <w:t>E. 6.2.1</w:t>
      </w:r>
    </w:p>
    <w:p>
      <w:r>
        <w:t>Dr. med. B._____, Facharzt für Orthopädische Chirurgie und Traumatolo- gie des Bewegungsapparates, hielt im orthopädischen Teilgutachten vom</w:t>
      </w:r>
    </w:p>
    <w:p>
      <w:r>
        <w:t>- 6 - 13. Juni 2023 bezüglich des rechten Kniegelenks fest, dass dieses bei der (bereits am 24. Februar 2023 durchgeführten) klinischen Untersuchung in "0°-Position eingesteift" gezeigt worden sei. Es sei keine aktive oder pas- sive Bewegung gezeigt worden (VB 138.2 S. 6, 10). Dasselbe geht auch aus dem "Messblatt für untere Gliedmassen [nach der Neutral - 0 - Me- thode]" hervor, auf welchem bezüglich der untersuchten Streckung und Beugung des rechten Kniegelenks der Wert (in Grad) "0" eingetragen ist (S. 2 des Anhangs 1 des orthopädischen Teilgutachtens [VB 138.2 S. 17]). Zudem gab er als Ergebnis der klinischen Untersuchung des rechten Knie- gelenks an, dass er keine Schwellung oder Rötung, keinen Erguss, keine vermehrte Behaarung, keine Atrophie der Haut, keine Temperaturdifferenz im Vergleich zur Gegenseite, keine Umfangsvermehrung im Vergleich zur Gegenseite und keine Muskelatrophie der Oberschenkelmuskulatur rechts im Vergleich zur Gegenseite festgestellt habe. Er wies zudem auf eine Druckschmerzangabe im Bereich des oberen Rezessus, der Patella, des medialen und lateralen Gelenkspaltes, im Bereich der Patellarsehne und im Bereich der Kniekehle hin. Die Seitenbänder seien stabil. Es bestehe ein Patellaverschiebeschmerz (VB 138.2 S. 6). Unter Ziff. 6.2 ("Beurteilung von Konsistenz und Plausibilität") und Ziff. 6.3 ("Diagnosen") des orthopä- dischen Teilgutachtens führte er sodann aus, dass die gezeigte Bewe- gungseinschränkung des rechten Kniegelenks aus orthopädischer Sicht nicht erklärt werden könne (VB 138.2 S. 8 ff.). Des Weiteren hielt Dr. med. B._____ fest, dass sich anlässlich der orthopädischen Begutachtung kein Hinweis auf die vom behandelnden Arzt Prof. Dr. med. C._____, Facharzt für Physikalische Medizin und Rehabilitation, in dessen Bericht vom 17. Februar 2021 gestellte Diagnose einer Arthrofibrose (vgl. VB 61 S. 2 ff.) gefunden habe. Bezüglich des von den behandelnden Ärzten diagnostizier- ten CRPS (vgl. VB 136 S. 2; 138.7 S. 6 ff., 22 f.) führte er seine diesbezüg- lich relevanten Untersuchungsbefunde zum rechten Knie auf und hielt fest, dass die Diagnose eines CRPS aus orthopädischer Sicht nicht nachvoll- ziehbar sei. Zudem verwies er auf die Ergebnisse der neurologischen Un- tersuchung, gemäss welcher die "Budapest-Kriterien" für ein CRPS eben- falls nicht erfüllt seien (VB 138.2 S. 9 f.). Der radiologische Untersuchungs- befund der Kniegelenke (Röntgen vom 30. März 2023 [VB 138.7 S. 20 f.]) und die durchgeführte Osteodensitometrie vom 30. Mai 2022 (DEXA-Mes- sung; VB 104 S. 2 f.) hätten einen Normalbefund und keinen Hinweis auf eine Minderbelastung, insbesondere keine Osteopenie (herabgesetzte Knochendichte; vgl. https://flexikon.doccheck.com/de/Osteopenie, zuletzt besucht am 19. Dezember 2024) aufgrund einer Immobilität, gezeigt (VB 138.2 S. 8, 10). Zumindest in Bezug auf eine allfällige – die Beschwerden am rechten Knie allenfalls erklärende – Arthrofibrose ist mangels einer Bezugnahme auf die für eine solche Diagnose relevanten vorliegenden klinischen und bildge- benden Befunde nicht gänzlich nachvollziehbar, weshalb Dr. med. B._____ zur Einschätzung gelangte, dass sich keine Hinweise darauf finden liessen</w:t>
      </w:r>
    </w:p>
    <w:p>
      <w:r>
        <w:t>- 7 - (vgl. VB 138.2 S. 9). Jedenfalls ergibt sich aus dem orthopädischen Teil- gutachten, dass der Gutachter Dr. med. B._____ anlässlich der klinisch- orthopädischen Untersuchung eine vollständige passive Unbeweglichkeit des rechten Kniegelenks feststellte (VB 138.2 S. 6, 17). Dies entspricht ins- besondere auch dem im Bericht von Prof. Dr. med. C._____ vom 17. Feb- ruar 2021 festgehaltenen Befund, wonach beim rechten Knie lediglich "kleinste Wackelbewegungen" möglich gewesen seien (VB 61 S. 2 ff.). Weitere Angaben zur Art und Weise der klinischen Untersuchung der pas- siven Beweglichkeit des rechten Knies sowie zu einer allfälligen Beeinflussungsmöglichkeit dieser Untersuchung durch die Beschwerdefüh- rerin (z.B. durch die Angabe von Schmerzen, wodurch die passiven Bewe- gungen nicht durchgeführt wurden), durch welche sich die festgestellten Inkonsistenzen hätten erklären lassen, sind dem orthopädischen Teil- gutachten nicht zu entnehmen. Diesbezüglich ist auch darauf hinzuweisen, dass aus dem SMAB-Gutachten im Übrigen keine Hinweise auf eine Simu- lation der Kniesteifigkeit durch die Beschwerdeführerin hervorgehen (vgl. auch VB 138.3 S. 6; 138.5 S. 7), zumal ohnehin fraglich ist, ob und, gege- benenfalls, inwiefern dies überhaupt möglich wäre. Aufgrund der Ausführungen des Gutachters Dr. med. B._____ zum anläss- lich der Begutachtung erhobenen orthopädischen Befund ist nicht nachvoll- ziehbar, dass dieser die (aktive und passive) Unbeweglichkeit des rechten Knies nicht als funktionelle Einschränkung mit Auswirkung auf das Leis- tungsvermögen der Beschwerdeführerin berücksichtigte (vgl. BGE 143 V 418 E. 6) und sodann – wohl einzig gestützt auf die weiteren orthopä- disch begründeten Funktionseinschränkungen (vgl. VB 138.2 S. 11) – zum Schluss gelangte, dass der Beschwerdeführerin eine wechselbelastende – sitzend/stehend/gehende – Tätigkeit zumutbar sei (vgl. VB 138.2 S. 11 f.). Vor diesem Hintergrund bestehen auch gewisse Zweifel, ob der Gutachter eine umfassende Untersuchung des rechten Knies samt allen relevanten (bildgebenden) Untersuchungen durchgeführt hat. Bezüglich der Beurtei- lung der Arbeitsfähigkeit der Beschwerdeführerin in deren bisherigen Tä- tigkeit als Assistenzperson an einer Schule ist ausserdem darauf hinzuwei- sen, dass dem Gutachter (im Unterschied zur Tätigkeit der Beschwerde- führerin in der Administration eines KMU, vgl. VB 38) keine Arbeitsplatzbe- schreibung deren Arbeitgeberin vorlag (vgl. VB 88) und ihm bereits aus die- sem Grund keine zuverlässige Beurteilung möglich war.</w:t>
      </w:r>
    </w:p>
    <w:p>
      <w:r>
        <w:rPr>
          <w:b/>
        </w:rPr>
        <w:t>E. 6.2.2</w:t>
      </w:r>
    </w:p>
    <w:p>
      <w:r>
        <w:t>Dr. med. D._____, Facharzt für Psychiatrie und Psychotherapie und für Neurologie, wies im neurologischen Teilgutachten vom 8. Juni 2023 darauf hin, dass der klinische Untersuchungsbefund unter Berücksichtigung der Budapest-Kriterien für die Diagnose eines CRPS nicht ausreichend sei. Zur abschliessenden Einschätzung der ohnehin interdisziplinären Diagnose ei- nes CRPS werde auf das orthopädische Teilgutachten verwiesen, welches</w:t>
      </w:r>
    </w:p>
    <w:p>
      <w:r>
        <w:t>- 8 - auch die Ergebnisse der radiologischen Untersuchung enthalte (VB 138.5 S. 8). Weitere Ausführungen bezüglich der einzelnen Diagnosekriterien ei- nes CRPS und insbesondere eine Bezugnahme auf die klinisch-neurologi- schen Untersuchungsbefunde (vgl. VB 138.5 S. 6 f.) finden sich im neuro- logischen Teilgutachten jedoch nicht (vgl. VB 138.5 S. 8). Aufgrund der sehr knappen Ausführungen des Gutachters ist nicht vollständig nachvoll- ziehbar, weshalb er den insbesondere im Bericht von Dr. med. E._____, Facharzt für Orthopädische Chirurgie und Traumatologie des Bewegungs- apparates, und med. pract. F._____ vom 4. August 2021 (VB 136 S. 2) festgehaltenen hochgradigen Verdacht auf ein CRPS I im rechten Knie (vgl. auch VB 138.7 S. 6 ff., 22 f.) aus neurologischer Sicht nicht bestätigte.</w:t>
      </w:r>
    </w:p>
    <w:p>
      <w:r>
        <w:rPr>
          <w:b/>
        </w:rPr>
        <w:t>E. 6.2.3</w:t>
      </w:r>
    </w:p>
    <w:p>
      <w:r>
        <w:t>Med. pract. G._____, Fachärztin für Psychiatrie und Psychotherapie, hielt im psychiatrischen Teilgutachten vom 3. Mai 2023 als Diagnose mit Rele- vanz für die Arbeitsfähigkeit diejenige einer chronischen Schmerzstörung mit somatischen und psychischen Faktoren (ICD-10: F45.41) fest und führte aus, dass die Beschwerdeführerin aufgrund der ständigen Schmer- zen weniger stressresistent sei, sich schlechter konzentrieren könne und schneller erschöpft sei, woraus sich die aktuellen Einschränkungen ergä- ben (VB 138.4 S. 11). Sie gelangte zum Schluss, dass der Beschwerdefüh- rerin eine Tätigkeit an einem ruhigen Arbeitsplatz mit flexiblen Arbeitszeiten und wenig Kundenkontakt zumutbar sei. In Bezug auf deren bisherige Tä- tigkeit als Assistenzperson an einer Schule erkannte sie keine qualitativen Einschränkungen und ging offenbar davon aus, dass diese einer angepass- ten Tätigkeit entspreche. Die quantitative Arbeitsfähigkeit der Beschwerde- führerin in deren bisherigen bzw. in einer angepassten Tätigkeit bezifferte sie sodann mit 70% (VB 138.4 S. 12 f.). Bei der Beurteilung der Arbeitsfä- higkeit der Beschwerdeführerin in deren bisherigen Tätigkeit lag der Gutachterin jedoch keine Arbeitsplatzbeschreibung deren Arbeitgeberin vor (vgl. VB 88). Vor diesem Hintergrund sowie aufgrund des von der Be- schwerdeführerin zu Recht vorgebrachten Umstands (vgl. Beschwerde S. 16), dass sie sich bei ihrer bisherigen Tätigkeit nach einem Stundenplan der Schule zu richten habe und es sich wohl eher nicht um einen ruhigen Arbeitsplatz handelt, ist die Beurteilung der Gutachterin med. pract. G._____ nicht vollständig nachvollziehbar.</w:t>
      </w:r>
    </w:p>
    <w:p>
      <w:r>
        <w:rPr>
          <w:b/>
        </w:rPr>
        <w:t>E. 6.3</w:t>
      </w:r>
    </w:p>
    <w:p>
      <w:r>
        <w:t>Somit ergibt sich, dass die Sachverhaltsabklärungen der Beschwerdegeg- nerin in Bezug auf die bisherige Tätigkeit der Beschwerdeführerin als As- sistenzperson an einer Schule unvollständig sind. Zudem lassen sich der Gesundheitszustand der Beschwerdeführerin sowie auch deren Arbeitsfä- higkeit in deren bisherigen und in einer angepassten Tätigkeit gestützt auf das SMAB-Gutachten vom 29. Juni 2023 nicht zuverlässig beurteilen. Im Übrigen erfolgte die Abklärung der Leistungsfähigkeit der Beschwerdefüh- rerin im Aufgabenbereich Haushalt bereits am 14. September 2021</w:t>
      </w:r>
    </w:p>
    <w:p>
      <w:r>
        <w:t>- 9 - (Abklärungsbericht vom 15. September 2021 [VB 63]) und damit, ohne dass die Abklärungsperson Kenntnis von aus den gutachterlich gestellten Diagnosen bzw. den diesen zu Grunde liegenden Befunden sich ergeben- den Beeinträchtigungen haben konnte (vgl. BGE 140 V 543 E. 3.2.1 S. 547; 133 V 450 E. 11.1.1 S. 468; Urteil des Bundesgerichts 8C_748/2019 vom</w:t>
      </w:r>
    </w:p>
    <w:p>
      <w:r>
        <w:rPr>
          <w:b/>
        </w:rPr>
        <w:t>E. 7</w:t>
      </w:r>
    </w:p>
    <w:p>
      <w:r>
        <w:t>Januar 2020 mit Hinweisen). Der anspruchsrelevante medizinische Sachverhalt erweist sich damit insgesamt im Lichte der Untersuchungs- maxime (Art. 43 Abs. 1 ATSG) als nicht rechtsgenüglich erstellt. Aufgrund der noch ausstehenden Sachverhaltsabklärungen in erwerblicher Hinsicht und der gegebenenfalls erneut durchzuführenden Haushaltsabklärung er- scheint daher, entgegen dem Antrag der Beschwerdeführerin auf Anord- nung eines Gerichtsgutachtens (vgl. Beschwerde S. 9, 16), eine Rückwei- sung der Sache an die Beschwerdegegnerin zur ergänzenden Abklärung mit anschliessender Neuverfügung über den Leistungsanspruch der Be- schwerdeführerin angezeigt.</w:t>
      </w:r>
    </w:p>
    <w:p>
      <w:r>
        <w:rPr>
          <w:b/>
        </w:rPr>
        <w:t>E. 7.1</w:t>
      </w:r>
    </w:p>
    <w:p>
      <w:r>
        <w:t>Nach dem Dargelegten ist die Beschwerde in dem Sinne gutzuheissen, dass die angefochtene Verfügung vom 10. April 2024 aufzuheben und die Sache zur weiteren Abklärung an die Beschwerdegegnerin zurückzuwei- sen ist. Die Beschwerdegegnerin hat detailliert abzuklären, welche Anfor- derungen die bisherige Tätigkeit der Beschwerdeführerin als Assistenzper- son an einer Schule stellt (VB 12 S. 1; 42.1; 88), danach ein neues polydis- ziplinäres Gutachten einzuholen und nach dessen Erstattung allenfalls er- neut eine Haushaltsabklärung durchzuführen. Im Anschluss daran hat sie neu über den Rentenanspruch der Beschwerdeführerin zu verfügen.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7.3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w:t>
      </w:r>
    </w:p>
    <w:p>
      <w:r>
        <w:t>- 10 - Das Versicherungsgericht erkennt: 1. In teilweiser Gutheissung der Beschwerde wird die Verfügung vom 10. April 2024 aufgehoben und die Sache zur weiteren Abklärung im Sinne der Er- wägungen und zur Neuverfügung an die Beschwerdegegnerin zurückge- wiesen. 2. Die Verfahrenskosten von Fr. 800.00 werden der Beschwerdegegnerin auf- erlegt. 3. Die Beschwerdegegnerin wird verpflichtet, der Beschwerdeführerin die Parteikosten in richterlich festgesetzter Höhe von Fr. 2'475.00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19. Dezember 2024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