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VBE.2024.100 vom 16. Juli 2024</w:t>
      </w:r>
    </w:p>
    <w:p>
      <w:r>
        <w:t>Ag Versicherungsgericht, 2024-07-16, DE</w:t>
      </w:r>
    </w:p>
    <w:p>
      <w:r>
        <w:rPr>
          <w:b/>
        </w:rPr>
        <w:t xml:space="preserve">Quelle: </w:t>
      </w:r>
      <w:r>
        <w:t>https://mcp.opencaselaw.ch/entscheid/ag_versicherungsgericht_VBE.2024.100</w:t>
      </w:r>
    </w:p>
    <w:p>
      <w:r>
        <w:t>FR: AG_VERSICHERUNGSGERICHT VBE.2024.100 du 16 juillet 2024</w:t>
      </w:r>
    </w:p>
    <w:p>
      <w:r>
        <w:t>IT: AG_VERSICHERUNGSGERICHT VBE.2024.100 del 16 luglio 2024</w:t>
      </w:r>
    </w:p>
    <w:p>
      <w:pPr>
        <w:pStyle w:val="Heading2"/>
      </w:pPr>
      <w:r>
        <w:t>Erwägungen</w:t>
      </w:r>
    </w:p>
    <w:p>
      <w:r>
        <w:rPr>
          <w:b/>
        </w:rPr>
        <w:t>E. 4</w:t>
      </w:r>
    </w:p>
    <w:p>
      <w:r>
        <w:t>Die Beschwerdeführerin macht im Rahmen ihrer Beschwerde im Wesentli- chen sinngemäss geltend, dass sie im guten Glauben gehandelt habe (vgl. Beschwerde). In ihrer Einsprache vom 8. Dezember 2023 hatte sie ausgeführt, sie sei irritiert gewesen, als sie am 14. Februar 2023 zwei Ver- fügungen erhalten habe, worunter die erste Verfügung jene vom 19. Juli 2022 mit der Rückforderung von Fr. 1'052.20 aufgehoben und die zweite Verfügung erneut eine Rückforderung von Fr. 1'052.20 gestellt habe. Am 15. Februar 2023 habe sie sodann eine neue aktualisierte Ab- rechnung für den Monat Mai 2022 erhalten, aus welcher sich eine Nach- zahlung von Fr. 0.00 gezeigt habe. Nach Rücksprache mit dem Sozialamt sei sie davon ausgegangen, dass sich die beiden Verfügungen vom 14. Februar 2023 gegenseitig aufheben würden, was sich auch aus der neuen Abrechnung vom 15. Februar 2023 zeigen würde (Nachzahlung von Fr. 0.00). Aus diesem Grund sei keine Einsprache gegen die Rückforde- rungsverfügung vom 14. Februar 2023 erhoben worden. Erst nachdem sie</w:t>
      </w:r>
    </w:p>
    <w:p>
      <w:r>
        <w:t>- 6 - mit der Arbeitslosenkasse am 17. Juli 2023 im telefonischen Kontakt ge- standen habe, habe sie ein Erlassgesuch gegen die Rückforderung vom 14. Februar 2023 gestellt (Einsprache vom 8. Dezember 2023 in VB 15). Die Abrechnungen seien für sie nicht mehr kontrollierbar, insbesondere wenn die Abrechnungen sowie Taggelder erst nach fünf Monaten ergehen würden. Die Arbeitslosentaggelder für den Monat Juli 2022 seien vollum- fänglich der Einwohnergemeinde Q._____ ausbezahlt worden, obwohl sie erst seit dem 15. Juli 2022 vom Sozialamt materielle Hilfe beziehe und für den Monat Juli 2022 lediglich Fr. 540.70 erhalten habe. Man könne von ihr nicht verlangen, dass sie über diese unübersichtliche Buchhaltung, kompli- zierten Korrespondenzen und Ungereimtheiten noch den fachlichen Über- blick bewahre. Sie habe mit reinem Gewissen und gutem Glauben gehan- delt (Eingabe der Beschwerdeführerin an die Arbeitslosenkasse vom 14. Januar 2024 in VB 19 f.).</w:t>
      </w:r>
    </w:p>
    <w:p>
      <w:r>
        <w:rPr>
          <w:b/>
        </w:rPr>
        <w:t>E. 5.1</w:t>
      </w:r>
    </w:p>
    <w:p>
      <w:r>
        <w:t>Nachdem die Verfügung vom 14. Februar 2023 betreffend Rückforderung in der Höhe von Fr. 1'052.20 (VB 21 f.) in Rechtskraft erwuchs, ist im vor- liegenden Verfahren einzig über den Anspruch auf Erlass der Rückforde- rung vom 14. Februar 2023 (VB 184) zu befinden.</w:t>
      </w:r>
    </w:p>
    <w:p>
      <w:r>
        <w:rPr>
          <w:b/>
        </w:rPr>
        <w:t>E. 5.2.1</w:t>
      </w:r>
    </w:p>
    <w:p>
      <w:r>
        <w:t>Ob der Beschwerdeführerin die Rückerstattung der Arbeitslosenentschädi- gung zu erlassen ist, hängt davon ab, ob sie die Nachzahlung für den Monat Mai 2022 am 23. November 2022 gutgläubig empfangen hat (Urteil des Bundesgerichts 8C_107/2023 vom 5. Juli 2023 E. 3.2.; AVIG-Praxis RVEI C2). Soweit die Beschwerdeführerin geltend macht, sie sei gestützt auf die von der Arbeitslosenkasse am 14. Februar 2023 erlassenen Verfü- gungen sowie die Abrechnung vom 15. Februar 2023 davon ausgegangen, dass die Rückforderung für den Monat Mai 2022 in der Höhe von Fr. 1'052.20 aufgehoben worden sei (vgl. E. 4. hiervor; VB 15), so ist darauf hinzuweisen, dass diese Verfügungen rund zweieinhalb Monate nach dem Leistungsbezug vom 23. November 2022 ergangen sind und deshalb keine Gutgläubigkeit zum Zeitpunkt des Leistungsbezugs zu belegen vermögen.</w:t>
      </w:r>
    </w:p>
    <w:p>
      <w:r>
        <w:rPr>
          <w:b/>
        </w:rPr>
        <w:t>E. 5.2.2</w:t>
      </w:r>
    </w:p>
    <w:p>
      <w:r>
        <w:t>Der Beschwerdeführerin hätte aufgrund der bis zum 23. November 2022 bei den Akten liegenden gut nachvollziehbaren Verfügungen sowie Abrech- nungen – trotz der verzögerten Zahlungen seitens der Arbeitslosenkasse – auffallen müssen, dass sie für den Monat Mai 2022 zu viele Leistungen bezogen hat; insbesondere unter Berücksichtigung der am 19. Juli 2022 ergangenen Rückforderungsverfügung. Aus dieser wird ersichtlich, dass die Beschwerdeführerin für den Monat Mai 2022 bereits am 24. Juni 2022 – trotz ihrer 50%igen Arbeitsunfähigkeit und der damals noch nicht</w:t>
      </w:r>
    </w:p>
    <w:p>
      <w:r>
        <w:t>- 7 - bestätigten Vorleistungspflicht des Beschwerdegegners – ein volles Tag- geld von Fr. 2'104.85 bezogen hatte (VB 309). Sodann hätte die Beschwer- deführerin bemerken müssen, dass es sich bei der für den Mai 2022 erfolg- ten Nachzahlung vom 23. November 2022 um einen Fehler der Arbeitslo- senkasse handeln musste, da beide Abrechnungen (siehe dazu Abrech- nung vom 24. Juni 2022 [VB 309] sowie vom 23. November 2022 [VB 219]) für den Monat Mai 2022 erfolgt waren. Dass die Rückforderungsverfügung vom 19. Juli 2022 nachträglich durch jene vom 14. Februar 2023 ersetzt worden ist, vermag an dieser Einschätzung nichts zu ändern.</w:t>
      </w:r>
    </w:p>
    <w:p>
      <w:r>
        <w:rPr>
          <w:b/>
        </w:rPr>
        <w:t>E. 5.2.3</w:t>
      </w:r>
    </w:p>
    <w:p>
      <w:r>
        <w:t>Soweit die Beschwerdeführerin vorbringt, das Sozialamt Q._____ habe für den Monat Juli 2022 das volle Taggeld erhalten, obwohl sie sich erst am 15. Juli 2022 beim Sozialamt angemeldet und für diesen Monat eine mate- rielle Hilfe von lediglich Fr. 540.70 bezogen habe (VB 15 und 19), so han- delt es sich hierbei nicht um eine Leistung, welche Gegenstand der Rück- forderungsverfügung vom 14. Februar 2023 ist, weshalb nicht weiter darauf einzugehen ist.</w:t>
      </w:r>
    </w:p>
    <w:p>
      <w:r>
        <w:rPr>
          <w:b/>
        </w:rPr>
        <w:t>E. 5.3</w:t>
      </w:r>
    </w:p>
    <w:p>
      <w:r>
        <w:t>Mit Blick auf die vorerwähnten Umstände ist zu schliessen, dass die Be- schwerdeführerin die Unrechtmässigkeit der Leistung zum Zeitpunkt des Bezugs der Nachzahlung vom 23. November 2022 mit der von jedem Teil- nehmer am Rechtsverkehr zu verlangenden allgemeinen Sorgfalt und Auf- merksamkeit hätte erkennen können und müssen. Indem die Beschwerde- führerin die Fehlerhaftigkeit nicht bemerkte, ist ihr eine grobe Nachlässig- keit vorzuwerfen. Der teilweise Doppelbezug von Taggeldern musste für die Beschwerdeführerin auch ohne nähere Kenntnisse des schweizeri- schen Sozialversicherungsrechts erkennbar gewesen sein; um den Dop- pelbezug erkennen zu können, war auch keine Beratung oder sonstige Un- terstützung durch Amtsstellen erforderlich. Die Beschwerdeführerin hätte sich nach Eingang der Nachzahlung bei den Behörden über die Rechtmäs- sigkeit der erhaltenen Leistungen für Mai 2022 erkundigen müssen. Der gute Glaube der Beschwerdeführerin muss aus diesen Gründen verneint werden. Da für die Gutheissung eines Erlassgesuches die Voraussetzungen des guten Glaubens und der grossen Härte kumulativ erfüllt sein müssen (vgl. E.2.1.), kann offengelassen werden, ob hier eine grosse Härte vorliegt.</w:t>
      </w:r>
    </w:p>
    <w:p>
      <w:r>
        <w:rPr>
          <w:b/>
        </w:rPr>
        <w:t>E. 6.1</w:t>
      </w:r>
    </w:p>
    <w:p>
      <w:r>
        <w:t>Die Beschwerde ist abzuweisen.</w:t>
      </w:r>
    </w:p>
    <w:p>
      <w:r>
        <w:rPr>
          <w:b/>
        </w:rPr>
        <w:t>E. 6.2</w:t>
      </w:r>
    </w:p>
    <w:p>
      <w:r>
        <w:t>Das Verfahren ist kostenlos (Art. 61 lit. a ATSG).</w:t>
      </w:r>
    </w:p>
    <w:p>
      <w:r>
        <w:t>- 8 -</w:t>
      </w:r>
    </w:p>
    <w:p>
      <w:r>
        <w:rPr>
          <w:b/>
        </w:rPr>
        <w:t>E. 6.3</w:t>
      </w:r>
    </w:p>
    <w:p>
      <w:r>
        <w:t>Der Beschwerdeführerin steht nach dem Ausgang des Verfahrens (Art. 61 lit. g ATSG) und dem Beschwerdegegner aufgrund seiner Stellung als So- zialversicherungsträger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16. Juli 2024 Versicherungsgericht des Kantons Aargau 4. Kammer Der Präsident: Die Gerichtsschreiberin i.V.: Roth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