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VBE.2023.60 vom 31. Mai 2023</w:t>
      </w:r>
    </w:p>
    <w:p>
      <w:r>
        <w:t>Ag Versicherungsgericht, 2023-05-31, DE</w:t>
      </w:r>
    </w:p>
    <w:p>
      <w:r>
        <w:rPr>
          <w:b/>
        </w:rPr>
        <w:t xml:space="preserve">Quelle: </w:t>
      </w:r>
      <w:r>
        <w:t>https://mcp.opencaselaw.ch/entscheid/ag_versicherungsgericht_VBE.2023.60</w:t>
      </w:r>
    </w:p>
    <w:p>
      <w:r>
        <w:t>FR: AG_VERSICHERUNGSGERICHT VBE.2023.60 du 31 mai 2023</w:t>
      </w:r>
    </w:p>
    <w:p>
      <w:r>
        <w:t>IT: AG_VERSICHERUNGSGERICHT VBE.2023.60 del 31 maggio 2023</w:t>
      </w:r>
    </w:p>
    <w:p>
      <w:pPr>
        <w:pStyle w:val="Heading2"/>
      </w:pPr>
      <w:r>
        <w:t>Erwägungen</w:t>
      </w:r>
    </w:p>
    <w:p>
      <w:r>
        <w:rPr>
          <w:b/>
        </w:rPr>
        <w:t>E. 1</w:t>
      </w:r>
    </w:p>
    <w:p>
      <w:r>
        <w:t>Der Beschwerdeführer meldete sich am 29. Juli 2022 zur Arbeitsvermitt- lung und am 19. August 2022 bei der Beschwerdegegnerin zum Bezug von Arbeitslosenentschädigung (ALE) an. Die Beschwerdegegnerin setzte den versicherten Verdienst auf Fr. 2'213.00 sowie das Taggeld auf Fr. 81.60 fest, woran sie mit Verfügung vom 25. Oktober 2022 festhielt. Die dagegen erhobene Einsprache wies sie mit Einspracheentscheid vom 29. Dezember 2022 ab.</w:t>
      </w:r>
    </w:p>
    <w:p>
      <w:r>
        <w:rPr>
          <w:b/>
        </w:rPr>
        <w:t>E. 2</w:t>
      </w:r>
    </w:p>
    <w:p>
      <w:r>
        <w:t>Der versicherte Verdienst sei entweder anhand des erzielten Erwerbs- einkommens vor Eintritt der Arbeitsunfähigkeit oder anhand des Pau- schalansatzes mit abgeschlossener Grundausbildung zu berechnen."</w:t>
      </w:r>
    </w:p>
    <w:p>
      <w:r>
        <w:rPr>
          <w:b/>
        </w:rPr>
        <w:t>E. 2.1</w:t>
      </w:r>
    </w:p>
    <w:p>
      <w:r>
        <w:t>Als versicherter Verdienst gilt der im Sinne der AHV-Gesetzgebung mass- gebende Lohn, der während eines Bemessungszeitraums aus einem oder mehreren Arbeitsverhältnissen normalerweise erzielt wurde; eingeschlos- sen sind die vertraglich vereinbarten regelmässigen Zulagen, soweit sie nicht Entschädigung für arbeitsbedingte Inkonvenienzen darstellen (Art. 23 Abs. 1 Satz 1 AVIG; BGE 135 V 185 E. 7.1 S. 191).</w:t>
      </w:r>
    </w:p>
    <w:p>
      <w:r>
        <w:rPr>
          <w:b/>
        </w:rPr>
        <w:t>E. 2.2</w:t>
      </w:r>
    </w:p>
    <w:p>
      <w:r>
        <w:t>Gemäss Art. 23 Abs. 2 AVIG setzt der Bundesrat für versicherte Personen, die im Anschluss an eine Berufslehre Arbeitslosenentschädigung bezie- hen, sowie für Personen, die von der Erfüllung der Beitragszeit befreit sind, Pauschalansätze als versicherten Verdienst fest. Er berücksichtigt dabei insbesondere das Alter, den Ausbildungsstand sowie die Umstände, die zur Befreiung von der Erfüllung der Beitragszeit geführt haben (Art. 14 AVIG). Gestützt auf diese Ermächtigung hat der Bundesrat Art. 41 AVIV erlassen. Nach Art. 41 Abs. 1 AVIV gelten die folgenden Pauschalansätze: 153 Franken im Tag für Personen mit einem Abschluss der Tertiärstufe (Hochschulabschluss, höhere Berufs- oder gleichwertige Ausbildung; lit. a), 127 Franken im Tag für Personen mit einem Abschluss der Sekundar- stufe II (abgeschlossene berufliche Grundbildung; lit. b), 102 Franken im Tag für alle übrigen Personen, die 20 Jahre oder älter sind, und 40 Franken im Tag für jene, die weniger als 20 Jahre alt sind (lit. c).</w:t>
      </w:r>
    </w:p>
    <w:p>
      <w:r>
        <w:rPr>
          <w:b/>
        </w:rPr>
        <w:t>E. 3.1</w:t>
      </w:r>
    </w:p>
    <w:p>
      <w:r>
        <w:t>Zwischen den Parteien ist nach Lage der Akten zurecht unumstritten, dass der Beschwerdeführer vor seiner Anmeldung zum Leistungsbezug auf- grund von Krankheit arbeitsunfähig und damit im Sinne von Art. 14 Abs. 1 lit. b AVIG von der Erfüllung der Beitragszeit befreit war. Nach dem klaren Wortlaut des Gesetzes ist somit zur Ermittlung des versicherten Verdiens- tes des Beschwerdeführers auf Pauschalansätze abzustellen, weshalb sich</w:t>
      </w:r>
    </w:p>
    <w:p>
      <w:r>
        <w:t>- 4 - die geforderte Berücksichtigung des vor Eintritt der Arbeitsunfähigkeit er- zielten Einkommens (vgl. Beschwerde Ziff. 6 ff.) von vornherein verbietet und sich diesbezügliche Weiterungen erübrigen.</w:t>
      </w:r>
    </w:p>
    <w:p>
      <w:r>
        <w:rPr>
          <w:b/>
        </w:rPr>
        <w:t>E. 3.2</w:t>
      </w:r>
    </w:p>
    <w:p>
      <w:r>
        <w:t>Der Anspruch auf den mittleren Pauschalansatz von 127 Franken pro Tag setzt nach Art. 41 Abs. 1 lit. b AVIV eine abgeschlossene Berufslehre oder eine gleichwertige Ausbildung an einer Fachschule oder einer ähnlichen Lehranstalt voraus. Das Bundesgericht hat in diesem Zusammenhang er- kannt, dass umfangreiches Fachwissen und Berufserfahrung (ohne ent- sprechenden Abschluss) die Anwendung des mittleren Pauschalansatzes nicht rechtfertigen. Ein Hinwegsetzen über den klaren Wortlaut der Verord- nungsbestimmung im Sinne einer Einzelfallgerechtigkeit wurde dabei aus Gründen der Rechtssicherheit abgelehnt (Urteil des Bundesge- richts 8C_324/2009 vom 11. November 2009 E. 3.5 mit Hinweis). Über eine abgeschlossene berufliche Ausbildung verfügt der Beschwerdeführer un- umstrittenermassen nicht (vgl. Beschwerde Ziff. 4), weshalb vom niedrigs- ten Pauschalansatz auszugehen ist.</w:t>
      </w:r>
    </w:p>
    <w:p>
      <w:r>
        <w:rPr>
          <w:b/>
        </w:rPr>
        <w:t>E. 3.3</w:t>
      </w:r>
    </w:p>
    <w:p>
      <w:r>
        <w:t>Die in Art. 23 Abs. 2 AVIG statuierte Pflicht zur Berücksichtigung von Alter, Ausbildungsstand sowie den Umständen, die zur Befreiung von der Erfül- lung der Beitragszeit geführt haben, richtet sich sodann nach dem klaren Wortlaut der Bestimmung an den Verordnungsgeber. Das Bundesgericht hat dazu bereits mehrfach festgehalten, dass der Bundesrat die Pauschal- ansätze für den versicherten Verdienst in Art. 41 Abs. 1 AVIV, der eine Ab- stufung der Pauschalansätze auf Grund unterschiedlicher Ausbildungsab- schlüsse vorsieht, bundesrechtskonform festgelegt hat (Urteil des Bundes- gerichts 8C_324/2009 vom 11. November 2009 E. 3.4.1 mit weiteren Hin- weisen). Die vom Bundesrat getroffene Regelung stellt zwar stark auf die abgeschlossene Ausbildung ab; die Verordnungsbestimmung hält sich je- doch im Rahmen der im Gesetz delegierten Kompetenzen und berücksich- tigt die in Art. 23 Abs. 2 AVIG festgehaltenen Kriterien (Alter, Ausbildungs- stand und Umstände, die zur Befreiung von der Erfüllung der Beitragszeit geführt haben), wenn auch nicht im vom Beschwerdeführer verlangten Sinne einer Berücksichtigung der langjährigen Berufserfahrung bei fehlen- dem oder nicht nachgewiesenem Berufsabschluss. Die vom Bundesrat ge- troffene Regelung der Pauschalansätze liegt jedoch innerhalb des diesem vom Gesetz eingeräumten Ermessenspielraums (Urteil des Bundesge- richts 8C_324/2009 vom 11. November 2009 E. 3.4.2).</w:t>
      </w:r>
    </w:p>
    <w:p>
      <w:r>
        <w:t>- 5 -</w:t>
      </w:r>
    </w:p>
    <w:p>
      <w:r>
        <w:rPr>
          <w:b/>
        </w:rPr>
        <w:t>E. 4.1</w:t>
      </w:r>
    </w:p>
    <w:p>
      <w:r>
        <w:t>Nach dem Dargelegten erweist sich die von der Beschwerdegegnerin vor- genommene Berechnung des versicherten Verdienstes als rechtens, wes- halb die gegen den Einspracheentscheid vom 29. Dezember 2022 erho- bene Beschwerde abzuweisen ist.</w:t>
      </w:r>
    </w:p>
    <w:p>
      <w:r>
        <w:rPr>
          <w:b/>
        </w:rPr>
        <w:t>E. 4.2</w:t>
      </w:r>
    </w:p>
    <w:p>
      <w:r>
        <w:t>Das Verfahren ist kostenlos (Art. 61 lit. fbis ATSG).</w:t>
      </w:r>
    </w:p>
    <w:p>
      <w:r>
        <w:rPr>
          <w:b/>
        </w:rPr>
        <w:t>E. 4.3</w:t>
      </w:r>
    </w:p>
    <w:p>
      <w:r>
        <w:t>Dem Beschwerdeführer steht nach dem Ausgang des Verfahrens (Art. 61 lit. g ATSG) und der Beschwerdegegnerin aufgrund ihrer Stellung als Sozi- alversicherungsträgerin (BGE 126 V 143 E. 4 S. 149 ff.) keine Parteient- 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- 6 - Aarau, 31. Mai 2023 Versicherungsgericht des Kantons Aargau 1. Kammer Der 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