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AG_VERSICHERUNGSGERICHT VBE.2023.490 vom 25. März 2024</w:t>
      </w:r>
    </w:p>
    <w:p>
      <w:r>
        <w:t>Ag Versicherungsgericht, 2024-03-25, DE</w:t>
      </w:r>
    </w:p>
    <w:p>
      <w:r>
        <w:rPr>
          <w:b/>
        </w:rPr>
        <w:t xml:space="preserve">Quelle: </w:t>
      </w:r>
      <w:r>
        <w:t>https://mcp.opencaselaw.ch/entscheid/ag_versicherungsgericht_VBE.2023.490</w:t>
      </w:r>
    </w:p>
    <w:p>
      <w:r>
        <w:t>FR: AG_VERSICHERUNGSGERICHT VBE.2023.490 du 25 mars 2024</w:t>
      </w:r>
    </w:p>
    <w:p>
      <w:r>
        <w:t>IT: AG_VERSICHERUNGSGERICHT VBE.2023.490 del 25 marzo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Auf die Einsprache vom 23. Oktober 2023 sei einzutreten.</w:t>
      </w:r>
    </w:p>
    <w:p>
      <w:r>
        <w:rPr>
          <w:b/>
        </w:rPr>
        <w:t>E. 4</w:t>
      </w:r>
    </w:p>
    <w:p>
      <w:r>
        <w:t>Unter Kosten- und Entschädigungsfolgen zu Lasten der Vorinstanz, eventualiter zu Lasten des Staates." 2.2. Die Beschwerdegegnerin beantragte mit Vernehmlassung vom 19. Dezem- ber 2023 im Wesentlichen die Abweisung der Beschwerde. Das Versicherungsgericht zieht in Erwägung: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