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VBE.2023.426 vom 8. April 2024</w:t>
      </w:r>
    </w:p>
    <w:p>
      <w:r>
        <w:t>Ag Versicherungsgericht, 2024-04-08, DE</w:t>
      </w:r>
    </w:p>
    <w:p>
      <w:r>
        <w:rPr>
          <w:b/>
        </w:rPr>
        <w:t xml:space="preserve">Quelle: </w:t>
      </w:r>
      <w:r>
        <w:t>https://mcp.opencaselaw.ch/entscheid/ag_versicherungsgericht_VBE.2023.426</w:t>
      </w:r>
    </w:p>
    <w:p>
      <w:r>
        <w:t>FR: AG_VERSICHERUNGSGERICHT VBE.2023.426 du 8 avril 2024</w:t>
      </w:r>
    </w:p>
    <w:p>
      <w:r>
        <w:t>IT: AG_VERSICHERUNGSGERICHT VBE.2023.426 del 8 aprile 2024</w:t>
      </w:r>
    </w:p>
    <w:p>
      <w:pPr>
        <w:pStyle w:val="Heading2"/>
      </w:pPr>
      <w:r>
        <w:t>Erwägungen</w:t>
      </w:r>
    </w:p>
    <w:p>
      <w:r>
        <w:rPr>
          <w:b/>
        </w:rPr>
        <w:t>E. 2</w:t>
      </w:r>
    </w:p>
    <w:p>
      <w:r>
        <w:t>Die in Rechtskraft erwachsene Verweigerung weiterer Leistungen durch den obligatorischen Unfallversicherer schliesst die spätere Entstehung ei- 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 zeit freisteht, einen Rückfall oder Spätfolgen eines rechtskräftig beurteilten Unfallereignisses geltend zu machen (vgl. Art. 11 UVV) und erneut Leistun- gen der Unfallversicherung zu beanspruchen (BGE 144 V 245 E. 6.1 S. 254).</w:t>
      </w:r>
    </w:p>
    <w:p>
      <w:r>
        <w:rPr>
          <w:b/>
        </w:rPr>
        <w:t>E. 2.1</w:t>
      </w:r>
    </w:p>
    <w:p>
      <w:r>
        <w:t>Dagegen erhob der Beschwerdeführer mit Eingabe vom 30. September 2023 fristgerecht Beschwerde und beantragte sinngemäss die Aufhebung des Einspracheentscheids vom 1. September 2023 und die Zusprache ei- ner Integritätsentschädigung.</w:t>
      </w:r>
    </w:p>
    <w:p>
      <w:r>
        <w:rPr>
          <w:b/>
        </w:rPr>
        <w:t>E. 2.2</w:t>
      </w:r>
    </w:p>
    <w:p>
      <w:r>
        <w:t>Mit Eingabe vom 30. Oktober 2023 reichte der Beschwerdeführer zusätzli- che Unterlagen ein.</w:t>
      </w:r>
    </w:p>
    <w:p>
      <w:r>
        <w:rPr>
          <w:b/>
        </w:rPr>
        <w:t>E. 2.3</w:t>
      </w:r>
    </w:p>
    <w:p>
      <w:r>
        <w:t>Mit Vernehmlassung vom 29. November 2023 beantragte die Beschwerde- gegnerin die Abweisung der Beschwerde.</w:t>
      </w:r>
    </w:p>
    <w:p>
      <w:r>
        <w:t>- 3 - Das Versicherungsgericht zieht in Erwägung: 1. Streitig und zu prüfen ist, ob die Beschwerdegegnerin einen Anspruch des Beschwerdeführers auf eine Integritätsentschädigung mit Einspracheent- scheid vom 1. September 2023 (Vernehmlassungsbeilage [VB] 196) zu Recht verneint hat.</w:t>
      </w:r>
    </w:p>
    <w:p>
      <w:r>
        <w:rPr>
          <w:b/>
        </w:rPr>
        <w:t>E. 3.1</w:t>
      </w:r>
    </w:p>
    <w:p>
      <w:r>
        <w:t>Gemäss Art. 24 Abs. 1 UVG hat der Versicherte, der durch den Unfall eine dauernde erhebliche Schädigung der körperlichen, geistigen oder psychi- schen Integrität erleidet, Anspruch auf eine angemessene Integritätsent- schädigung. Die Integritätsentschädigung wird in Form einer Kapitalleis- tung gewährt. Sie darf den am Unfalltag geltenden Höchstbetrag des ver- sicherten Jahresverdienstes nicht übersteigen und wird entsprechend der Schwere des Integritätsschadens abgestuft (Art. 25 Abs. 1 UVG). Die Schwere des Integritätsschadens beurteilt sich nach dem medizinischen Befund. Bei gleichem medizinischem Befund ist der Integritätsschaden für alle Versicherten gleich; er wird abstrakt und egalitär bemessen (Urteil des Bundesgerichts 8C_478/2022 vom 30. Mai 2023 E. 6.1 mit Hinweisen).</w:t>
      </w:r>
    </w:p>
    <w:p>
      <w:r>
        <w:rPr>
          <w:b/>
        </w:rPr>
        <w:t>E. 3.2</w:t>
      </w:r>
    </w:p>
    <w:p>
      <w:r>
        <w:t>Nach Art. 25 Abs. 2 UVG regelt der Bundesrat die Bemessung der Ent- schädigung. Von dieser Befugnis hat er in Art. 36 UVV Gebrauch gemacht. Gemäss Abs. 2 dieser Vorschrift gelten für die Bemessung der Integritäts- entschädigung die Richtlinien des Anhangs 3. Darin hat der Bundesrat in einer als gesetzmässig erkannten, nicht abschliessenden Skala häufig vor- kommende und typische Schäden prozentual gewichtet (BGE 124 V 29 E. 1b S. 32 mit Hinweisen). Für die im Anhang 3 zur UVV genannten Integ- ritätsschäden entspricht die Entschädigung im Regelfall dem angegebenen Prozentsatz des Höchstbetrages des versicherten Verdienstes (Ziff. 1</w:t>
      </w:r>
    </w:p>
    <w:p>
      <w:r>
        <w:t>- 4 - Abs. 1). Die Entschädigung für spezielle oder nicht aufgeführte Integritäts- schäden wird nach dem Grad der Schwere vom Skalenwert abgeleitet (Ziff. 1 Abs. 2). In diesem Zusammenhang hat die Suva in Weiterentwick- lung der bundesrätlichen Skala weitere Bemessungsgrundlagen in tabella- rischer Form erarbeitet (BGE 124 V 29 E. 1c S. 32). Diese Tabellen stellen keine Rechtssätze dar, sondern sind blosse Verwaltungsweisungen an die Organe der Suva und deshalb für das Gericht nicht verbindlich (RUMO- JUNGO/HOLZER, Rechtsprechung des Bundesgerichts zum Sozialversiche- rungsrecht, Bundesgesetz über die Unfallversicherung, 4. Aufl. 2012, S. 167 mit Hinweis RKUV 1989 Nr. U 71 S. 222 f. E. 3b und BGE 124 V 209 E. 4a/cc S. 211). Soweit sie aber lediglich Richtwerte enthalten, mit denen die Gleichbehandlung aller Versicherten gewährleistet werden soll, sind sie mit dem Anhang 3 zur UVV vereinbar (RUMO-JUNGO/HOLZER, a.a.O., S. 167 mit Hinweis auf unter anderem auf BGE 124 V 209 E. 4a/cc S. 211, 124 V 29 E. 1c S. 32 und 113 V 218 E. 2b S. 219). Ist ein Integri- tätsschaden weder in der Skala in Anhang 3 UVV noch in den Tabellen der Suva enthalten, ist gemäss Ziff. 1 Abs. 2 des Anhangs 3 zur UVV eine Schätzung im Vergleich mit anderen Schäden vorzunehmen (RUMO- JUNGO/HOLZER, a.a.O., S. 167 mit Hinweis auf BGE 113 V 218 E. 3 S. 219). Integritätsschäden, die gemäss der hiervor erwähnten Skala 5 % nicht er- reichen, geben keinen Anspruch auf Entschädigung (Ziff. 1 Abs. 3 des An- hangs 3 zur UVV; BGE 116 V 156 E. 3b S. 157).</w:t>
      </w:r>
    </w:p>
    <w:p>
      <w:r>
        <w:rPr>
          <w:b/>
        </w:rPr>
        <w:t>E. 3.3</w:t>
      </w:r>
    </w:p>
    <w:p>
      <w:r>
        <w:t>Nach Anhang 3 zur UVV entspricht eine sehr schwere Entstellung im Ge- sicht einer Integritätsentschädigung von 50 %. Nach der Suva-Tabelle 18 ("Integritätsschaden bei Schädigung der Haut") reicht der Integritätsscha- den bei Hautnarben nach tieferen Verbrennungen je nach Schweregrad und Ausdehnung von 5 % bis 50 % (schwere Entstellung im Gesicht). Da- bei werden Narben an Gesicht und Händen deutlich höher bemessen als Narben an bedeckten Körperpartien (lit. b).</w:t>
      </w:r>
    </w:p>
    <w:p>
      <w:r>
        <w:rPr>
          <w:b/>
        </w:rPr>
        <w:t>E. 4</w:t>
      </w:r>
    </w:p>
    <w:p>
      <w:r>
        <w:t>Die Beschwerdegegnerin stützte sich im angefochtenen Einspracheent- scheid in medizinischer Hinsicht im Wesentlichen auf die Aktenbeurteilun- gen ihres Versicherungsmediziners Dr. med. B._____, Facharzt für Arbeits- medizin und Oto-Rhino-Laryngologie. Dieser hielt in seiner Aktenbeurtei- lung vom 11. Oktober 2022 insbesondere fest, dass keine grossen, entstel- lenden Hautnarben vorlägen (VB 163). In seiner Aktenbeurteilung vom 28. Dezember 2022 führte er sodann aus, dass gemäss dem zusätzlich eingeholten Bericht von Prof. Dr. med. C._____, Facharzt für Oto-Rhino- Laryngologie, vom 1. Dezember 2022 (VB 170) eine leichte Deviation der Nasenachse nach rechts und endonasal eine leichte Septumdeviation nach links in Area 3 sowie eine leichte inferiore Muschelhyperplasie vorlägen. Die leichte Deviation der Nasenachse nach rechts könne er nach Durch- sicht der neu vorliegenden Gesichtsfotos (vgl. VB 175–179) bestätigen.</w:t>
      </w:r>
    </w:p>
    <w:p>
      <w:r>
        <w:t>- 5 - Gemäss dem präoperativen Bericht des Universitätsspitals D._____ vom 13. September 2018 (vgl. VB 24) habe das Nasenbein damals gerade ge- standen mit einer Rechtsdeviation des unteren Teils des Nasenrückens. In seiner Beurteilung kam Dr. med. B._____ zum Schluss, dass die Voraus- setzungen für eine Integritätsentschädigung nach erfolgreicher Septorhino- plastik nicht erfüllt seien. Das postoperative Resultat sei "recht schön" mit einer diskreten Deviation nach rechts. Die vom Beschwerdeführer behaup- tete Schiefnase sei derart gering, dass die Indikation zu einer erneuten ope- rativen Korrektur nicht gegeben sei. Die vom Beschwerdeführer erwähnte Nasenatmungsbehinderung werde durch eine Nasenmuschelhyperplasie verursacht, was jedoch keine Folge des Unfalls sei (VB 181 S. 1 f.; vgl. auch VB 122; 163).</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5.3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w:t>
      </w:r>
    </w:p>
    <w:p>
      <w:r>
        <w:t>- 6 - Anamnese, Verlauf und gegenwärtigen Status ergeben. Der medizinische Sachverständige muss sich insgesamt aufgrund der vorhandenen Unterla- gen ein lückenloses Bild machen können (Urteile des Bundesgerichts 8C_46/2019 vom 10. Mai 2019 E. 3.2.1; 8C_641/2011 vom 22. Dezember 2011 E. 3.2.2 mit Hinweisen).</w:t>
      </w:r>
    </w:p>
    <w:p>
      <w:r>
        <w:rPr>
          <w:b/>
        </w:rPr>
        <w:t>E. 6.1</w:t>
      </w:r>
    </w:p>
    <w:p>
      <w:r>
        <w:t>Die Aktenbeurteilungen von Dr. med. B._____ vom 11. Oktober 2022 und 28. Dezember 2022 erfolgten in Kenntnis der Akten, welche auf verschie- denen persönlichen Untersuchungen beruhen und ein vollständiges Bild betreffend den relevanten medizinischen Sachverhalt ergeben (VB 163; 181 S. 1) sowie unter Einbezug der vorliegenden Fotodokumentation (VB 175–179) und unter Berücksichtigung der vom Beschwerdeführer ge- klagten Beschwerden (VB 163; 181 S. 1). Zunächst bestehen an der Fest- stellung in der Aktenbeurteilung vom 11. Oktober 2022, dass keine gros- sen, entstellenden Hautnarben vorlägen, keine Zweifel. Der Bericht von Prof. Dr. med. C._____ und Assistenzarzt Dr. med. E._____ vom 1. De- zember 2022 weist lediglich auf einen postoperativ veränderten Hautstatus mit Narbenbildung am linken Nasenflügel hin (vgl. VB 170 S. 1). Ausser- dem war bereits im Jahr 2019 eine Narbenkorrektur am linken Nasenflügel erfolgt (vgl. VB 62). Des Weiteren gelangte Dr. med. B._____ in seiner Ak- tenbeurteilung vom 28. Dezember 2022 gestützt auf den Bericht von Prof. Dr. med. C._____ und Assistenzarzt Dr. med. E._____ vom 1. Dezember 2022 (VB 170) samt Fotodokumentation (VB 175–179) zur überzeugend begründeten Schlussfolgerung, dass aufgrund der leichten Deviation der Nasenachse nach rechts und einer leichten Deviation des Nasenseptums nach links keine erhebliche Schädigung der Nase vorliege, welche einen Anspruch auf eine Integritätsentschädigung begründen würde; divergie- rende ärztliche Beurteilungen finden sich in den medizinischen Akten nicht. Auch die Einschätzung von Dr. med. B._____, wonach die Nasenatmungs- behinderung keine Unfallfolge darstelle, ist nachvollziehbar. Diesbezüglich ist auch darauf hinzuweisen, dass eine gesundheitliche Schädigung nicht schon dann als durch den Unfall verursacht gilt, weil sie nach diesem auf- getreten ist. Eine derartige "post hoc, ergo propter hoc"-Argumentation ist beweisrechtlich nicht zulässig (BGE 142 V 325 E. 2.3.2.2 S. 330 und 119 V 335 E. 2b/bb S. 341 f.).</w:t>
      </w:r>
    </w:p>
    <w:p>
      <w:r>
        <w:rPr>
          <w:b/>
        </w:rPr>
        <w:t>E. 6.2</w:t>
      </w:r>
    </w:p>
    <w:p>
      <w:r>
        <w:t>Zusammenfassend kann auf die nachvollziehbaren und schlüssigen Akten- beurteilungen des Versicherungsmediziners Dr. med. B._____ vom 11. Ok- tober 2022 und 28. Dezember 2022 abgestellt werden. Gestützt darauf und unter Berücksichtigung der Skalenwerte gemäss Anhang 3 zur UVV und der Suva-Tabelle 18 ist beim Beschwerdeführer aufgrund der Geringfügig- keit der Deviation der Nasenachse und des Nasenseptums sowie der Haut- narbe am linken Nasenflügel keine Entstellung im Gesicht festzustellen,</w:t>
      </w:r>
    </w:p>
    <w:p>
      <w:r>
        <w:t>- 7 - welche einem Integritätsschaden von mindestens 5 % entspricht (vgl. E. 3). Ausserdem sind die vom Beschwerdeführer in seiner Beschwerde behaup- teten Schmerzen an der Nase nicht durch objektive Befunde erklärbar. Auf- grund des medizinischen Befunds lässt sich somit keine erhebliche Schä- digung der körperlichen Integrität – und damit keine seit der als Referenz- zeitpunkt heranzuziehenden Verfügung vom 19. Januar 2022 neuanmel- dungsrechtlich relevante Veränderung des Gesundheitszustands im Sinne eines Rückfalls oder einer Spätfolge (vgl. BGE 144 V 245 E. 6.2 S. 254) – feststellen (vgl. E. 2). Der medizinische Sachverhalt erweist sich vor diesem Hintergrund als vollständig abgeklärt, weshalb auf weitere Abklärungen in antizipierter Beweiswürdigung zu verzichten ist, da von diesen keine weite- ren Erkenntnisse zu erwarten sind (vgl. BGE 144 V 361 E. 6.5 S. 368 mit Hinweisen). Folglich hat die Beschwerdegegnerin einen Anspruch des Be- schwerdeführers auf eine Integritätsentschädigung zu Recht verneint.</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April 2024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