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VBE.2023.390 vom 12. Februar 2024</w:t>
      </w:r>
    </w:p>
    <w:p>
      <w:r>
        <w:t>Ag Versicherungsgericht, 2024-02-12, DE</w:t>
      </w:r>
    </w:p>
    <w:p>
      <w:r>
        <w:rPr>
          <w:b/>
        </w:rPr>
        <w:t xml:space="preserve">Quelle: </w:t>
      </w:r>
      <w:r>
        <w:t>https://mcp.opencaselaw.ch/entscheid/ag_versicherungsgericht_VBE.2023.390</w:t>
      </w:r>
    </w:p>
    <w:p>
      <w:r>
        <w:t>FR: AG_VERSICHERUNGSGERICHT VBE.2023.390 du 12 février 2024</w:t>
      </w:r>
    </w:p>
    <w:p>
      <w:r>
        <w:t>IT: AG_VERSICHERUNGSGERICHT VBE.2023.390 del 12 febbraio 2024</w:t>
      </w:r>
    </w:p>
    <w:p>
      <w:pPr>
        <w:pStyle w:val="Heading2"/>
      </w:pPr>
      <w:r>
        <w:t>Erwägungen</w:t>
      </w:r>
    </w:p>
    <w:p>
      <w:r>
        <w:rPr>
          <w:b/>
        </w:rPr>
        <w:t>E. 3</w:t>
      </w:r>
    </w:p>
    <w:p>
      <w:r>
        <w:t>Subeventualiter sei die angefochtene Verfügung aufzuheben und es sei vom Gericht aus eine neue polydisziplinäre Begutachtung in Auftrag zu geben, worauf neu zu entscheiden sei.</w:t>
      </w:r>
    </w:p>
    <w:p>
      <w:r>
        <w:t>- 3 -</w:t>
      </w:r>
    </w:p>
    <w:p>
      <w:r>
        <w:rPr>
          <w:b/>
        </w:rPr>
        <w:t>E. 3.1</w:t>
      </w:r>
    </w:p>
    <w:p>
      <w:r>
        <w:t>Die Beschwerdegegnerin stützt sich in ihrer Anspruchsbeurteilung auf das SMAB Gutachten vom 11. Januar 2023 (VB 228). Demnach liegen bei der Beschwerdeführerin als Diagnosen mit Auswirkung auf die Arbeitsfähigkeit vor (VB 228.1 S. 6 f.): 1. Schubförmige remittierende Multiple Sklerose (Erstdiagnose 2003, sensibles Hemisyndrom links, chronisches Fatigue Syndrom, Dekondi- tionierung) 2. Rezidivierende depressive Störung (ICD-10: F33.1), zurzeit mittel- schwer ausgeprägt 3. Zwangsstörung, vorwiegend Zwangshandlungen (ICD-10: F20.2)</w:t>
      </w:r>
    </w:p>
    <w:p>
      <w:r>
        <w:rPr>
          <w:b/>
        </w:rPr>
        <w:t>E. 3.2</w:t>
      </w:r>
    </w:p>
    <w:p>
      <w:r>
        <w:t>Die Arbeitsfähigkeit in der angestammten Tätigkeit sowie jeder angepass- ten Tätigkeit betrage 50 %. Das Arbeitsplatzprofil schliesse schwere kör- perliche Tätigkeiten, Tätigkeiten mit besonderen Anforderungen an Kon- zentrations- und Reaktionsvermögen sowie erhöhter Flexibilität aus. Weiter seien komplexe Tätigkeiten wie Überwachungs- und Steuerungsaktivitä- ten, ständige Bildschirmarbeit, Chauffeurberufe, Tätigkeiten an exponierten Stellen oder mit hohen Anforderungen an die Umstellungsfähigkeit, die Stresstoleranz, den Umgang bei sozialen Interaktionen sowie das selbstän- dige Planen und Strukturieren ebenso wenig geeignet wie Arbeit unter Zeit- druck (VB 228.1 S. 9).</w:t>
      </w:r>
    </w:p>
    <w:p>
      <w:r>
        <w:rPr>
          <w:b/>
        </w:rPr>
        <w:t>E. 3.3</w:t>
      </w:r>
    </w:p>
    <w:p>
      <w:r>
        <w:t>In Zusammenschau der sich präsentierenden Beschwerdeführerin, der ausführlichen Aktenlage sowie des neuropsychologischen Gutachtens bleibe die hinreichende Frage nach einer ausgeprägten Verdeutlichungs- tendenz seitens der Beschwerdeführerin in Bezug auf ihre Fatigue/Chronic- Fatigue-Symptomatik bestehen (VB 228.1 S. 7). So hätten keine validen neuropsychologischen Befunde erhoben werden können. Beide eingesetz- ten Performanzvalidierungsverfahren seien deutlich auffällig ausgefallen, was auf eine negative Antwortverzerrung hinweise. Die erhobenen Minder-</w:t>
      </w:r>
    </w:p>
    <w:p>
      <w:r>
        <w:t>- 5 - leistungen seien weder im Rahmen einer Multiplen Sklerose noch einer psychiatrischen Erkrankung erklärbar und entsprächen teilweise einer Per- son mit einer fortgeschrittenen demenziellen Erkrankung (VB 228.7 S. 5 f.). Der Anteil der durch die stattgehabte Tumorbehandlung begründeten Fati- guesymptomatik werde aus onkologischer Sicht eher als gering einge- schätzt (VB 228.1 S. 7). Aufgrund der führenden psychiatrischen Ein- schränkung von 50 % durch Depression und Zwangsstörung sei die Fati- gue durch die Multiple Sklerose und die onkologische Erkrankung in der Gesamtbeurteilung aufgrund der deutlich geringeren Einschränkung be- reits eingeschlossen (VB 228.1 S. 8).</w:t>
      </w:r>
    </w:p>
    <w:p>
      <w:r>
        <w:rPr>
          <w:b/>
        </w:rPr>
        <w:t>E. 4</w:t>
      </w:r>
    </w:p>
    <w:p>
      <w:r>
        <w:t>Tumorbedingte Fatigue (Cancer Related Fatigue Syndrome CRFS). Ohne Auswirkung auf die Arbeitsfähigkeit lägen unter anderem ein Mammakarzinom links in kompletter Remission sowie eine Psoriasis-Arth- ritis vor.</w:t>
      </w:r>
    </w:p>
    <w:p>
      <w:r>
        <w:rPr>
          <w:b/>
        </w:rPr>
        <w:t>E. 4.1</w:t>
      </w:r>
    </w:p>
    <w:p>
      <w:r>
        <w:t>Den von Versicherungsträgern im Verfahren nach Art. 44 ATSG eingehol- ten (sowie den Anforderungen in Art. 72bis IVV für bi- und polydisziplinäre Gutachten entsprechenden) Gutachten externer Spezialärzte darf Beweis- wert zuerkannt werden, solange nicht konkrete Indizien gegen die Zuver- lässigkeit der Expertise sprechen (Urteil des Bundesgerichts 8C_737/2019 vom 19. Juli 2020 E. 5.1.4 mit Verweis auf BGE 135 V 465 E. 4.4 S. 470). Den Gutachten kommt somit bei Abklärungen im Leistungsbereich der So- zialversicherung überragende Bedeutung zu (UELI KIESER, Kommentar zum Bundesgesetz über den Allgemeinen Teil des Sozialversicherungs- rechts, 4. Aufl. 2020, N. 13 zu Art. 44 ATSG; vgl. auch BGE 132 V 93 E. 5.2.8 S. 105). Das SMAB Gutachten vom 11. Januar 2023 erfüllt die vorgenannten Vor- aussetzungen an ein Gutachten, weshalb grundsätzlich darauf abgestellt werden kann.</w:t>
      </w:r>
    </w:p>
    <w:p>
      <w:r>
        <w:rPr>
          <w:b/>
        </w:rPr>
        <w:t>E. 4.2</w:t>
      </w:r>
    </w:p>
    <w:p>
      <w:r>
        <w:t>Die Beschwerdeführerin bringt gegen das SMAB Gutachten jedoch vor, die durchgeführten beruflichen Massnahmen hätten gezeigt, dass die gut- achterlich festgehaltene Arbeitsfähigkeit nicht umsetzbar sei. Der ent- sprechende Bericht sei zu edieren. Weiter würden die mit Beilage 4 zur Be- schwerde eingereichten medizinischen Unterlagen, so etwa die Krank- schreibung im Bericht des Neurozentrums B._____ vom 23. August 2023, die Unmöglichkeit der Realisierung der gutachterlichen Arbeitsfähigkeit und eine Verschlechterung der medizinischen Situation seit der Begutachtung aufzeigen. Schliesslich sei unter Verweis auf den Entscheid des Sozialver- sicherungsgerichts Zürich vom 20. Mai 2020 i.S. X._____ gegen die SVA Zürich der onkologischen Verschlimmerung der Fatigue um 10 % nicht Rechnung getragen worden (Beschwerde S. 3 f.).</w:t>
      </w:r>
    </w:p>
    <w:p>
      <w:r>
        <w:t>- 6 -</w:t>
      </w:r>
    </w:p>
    <w:p>
      <w:r>
        <w:rPr>
          <w:b/>
        </w:rPr>
        <w:t>E. 4.3.1</w:t>
      </w:r>
    </w:p>
    <w:p>
      <w:r>
        <w:t>Aus den eingereichten medizinischen Unterlagen (Beschwerdebeilage 4) geht weder eine Auseinandersetzung mit der gutachterlichen Beurteilung noch sonst eine Diagnose oder ein objektivierbares Beschwerdebild hervor, woraus Zweifel am SMAB Gutachten entstehen würden. Vielmehr werden die bereits bekannten Diagnosen wiederholt und verschiedene Therapie- optionen diskutiert. Die einzig im Bericht des Neurozentrums B._____ vom 23. August 2023 festgehaltene Arbeitsunfähigkeit von 100 % für 10 Tage wegen Hitze (nachdem sich die Beschwerdeführerin offenbar darüber be- schwert hatte, dass sie bei der Eingliederung mit Behinderten arbeiten müsse und es so heiss sei), vermag ebenfalls keine gegenüber der SMAB- Beurteilung massgebliche Verschlechterung zu begründen.</w:t>
      </w:r>
    </w:p>
    <w:p>
      <w:r>
        <w:rPr>
          <w:b/>
        </w:rPr>
        <w:t>E. 4.3.2</w:t>
      </w:r>
    </w:p>
    <w:p>
      <w:r>
        <w:t>Hinsichtlich der durchgeführten Integrationsmassnahmen ist darauf hinzu- weisen, dass den Erkenntnissen von Eingliederungsfachpersonen im Rah- men von beruflichen Abklärungen bezüglich der Beurteilung der Arbeits- und Leistungsfähigkeit nur beschränkte Aussagekraft zukommt, da diese in der Regel nicht auf vertieften medizinischen Untersuchungen, sondern auf berufspraktischen Beobachtungen beruhen, welche in erster Linie die subjektive Arbeitsleistung der versicherten Person wiedergeben (Urteil des Bundesgerichts 8C_21/2020 vom 8. April 2020 E. 4.1.2 mit Hinweisen). Gemäss Abschlussbericht Integration vom 3. Oktober 2023 habe die Be- schwerdeführerin das Aufbautraining lediglich zwei Tage besucht (VB 255), wobei gemäss E-Mail des Bereichsleiters Arbeitsmarktintegration, C._____ AG, vom 20. September 2023 keinerlei messbare Arbeitsleistung er- sichtlich gewesen sei (VB 251). Aufgrund dessen sowie der gutachterlich festgehaltenen Verdeutlichungstendenzen seitens der Beschwerdeführerin sind von der Einholung eines zusätzlichen Berichtes über die durchgeführ- ten beruflichen Massnahmen keine neuen Erkenntnisse zu erwarten, wes- halb in antizipierter Beweiswürdigung hierauf zu verzichten ist. Der Abbruch des Aufbautrainings nach zwei Tagen sowie eine vollständig fehlende Ar- beitsleistung in dieser Zeit vermag keine Zweifel an der gutachterlich be- stimmten Arbeitsfähigkeit begründen, ansonsten in jedem Fall eine ver- sicherte Person durch Abbruch oder subjektive Leistungsschmälerung wei- tere Abklärungen erzwingen könnte.</w:t>
      </w:r>
    </w:p>
    <w:p>
      <w:r>
        <w:rPr>
          <w:b/>
        </w:rPr>
        <w:t>E. 4.3.3</w:t>
      </w:r>
    </w:p>
    <w:p>
      <w:r>
        <w:t>Soweit die Beschwerdeführerin sodann mit Verweis auf den Entscheid des Sozialversicherungsgerichts Zürich (IV.2019.00240) vom 20. Mai 2020 et- was zu ihren Gunsten ableiten will, kann ihr nicht gefolgt werden. In ge- nanntem Entscheid ging es im Wesentlichen darum, dass die Beurteilung im onkologischen Teilgutachten (100 % AUF) zugunsten der Einschätzung des Regionalen Ärztlichen Dienstes (RAD, 0 % AUF) unbeachtet geblieben waren. Mangels entsprechender onkologischer Zusatzausbildung des RAD</w:t>
      </w:r>
    </w:p>
    <w:p>
      <w:r>
        <w:t>- 7 - sowie aufgrund relevanter Abweichungen der Arbeitsfähigkeitsbeurteilung gestützt auf die bei der versicherten Person bestehenden Fatigue zwischen psychiatrischem und onkologischem Teilgutachten erachtete das Gericht den Sachverhalt als ungenügend abgeklärt, weil weder die Beurteilung des RAD noch des Psychiaters die onkologische Einschätzung ersetzen könn- ten. Im vorliegenden Fall besteht aber Konsens zwischen den verschiede- nen Gutachtern und sie hielten explizit fest, dass die tumorbedingte Fatigue eher als gering eingeschätzt werde, wobei der onkologische Gutachter von einer Einschränkung von 10 % ausging (VB 228.1 S. 7; 228.6 S. 10). Eine einfache Addition von verschiedenen Teilarbeitsunfähigkeiten ist aber nicht angezeigt, denn die Gutachter hielten ausdrücklich fest, die Fatigue bzw. die onkologische Erkrankung sei in der Gesamtbeurteilung einer Ein- schränkung von 50 % bereits enthalten (VB 228.1 S. 8). Ob sich die einzel- nen aus mehreren Behinderungen resultierenden Einschränkungsgrade summieren und in welchem Masse, betrifft eine spezifisch medizinische Problematik und Einschätzung, von der das Gericht grundsätzlich nicht ab- rückt (Urteil des Bundesgerichts 9C_461/2019 vom 22. November 2019 E. 4.2 mit weiteren Hinweisen). Vorliegend liegen keine Hinweise dafür vor, dass von der gutachterlichen Einschätzung der kombinierten Teilarbeitsun- fähigkeiten abzuweichen ist, womit auf die 50%ige Arbeitsfähigkeit in an- gestammter und angepasster Tätigkeit abzustellen ist.</w:t>
      </w:r>
    </w:p>
    <w:p>
      <w:r>
        <w:rPr>
          <w:b/>
        </w:rPr>
        <w:t>E. 5</w:t>
      </w:r>
    </w:p>
    <w:p>
      <w:r>
        <w:t>Soweit die Beschwerdeführerin schliesslich vorbringt, eine Rentenreduk- tion ohne gleichzeitige berufliche Massnahmen sei gesetzeswidrig, so kann ihr nicht gefolgt werden. Einzig bei Personen, deren Rente revisionsweise herabgesetzt oder aufgehoben werden soll, bei denen eine mindestens fünfzehnjährige Bezugsdauer vorliegt oder die mindestens 55 Jahre alt sind, sind praxisgemäss in der Regel vorgängig Massnahmen zur Einglie- derung durchzuführen, bis sie in der Lage sind, das medizinisch-theoretisch (wieder) ausgewiesene Leistungspotenzial mittels Eigenanstrengung aus- zuschöpfen und erwerblich zu verwerten. Ausnahmen von der diesfalls grundsätzlich ("vermutungsweise") anzunehmenden Unzumutbarkeit einer Selbsteingliederung liegen namentlich dann vor, wenn die langjährige Ab- senz vom Arbeitsmarkt auf invaliditätsfremde Gründe zurückzuführen ist (Urteil des Bundesgerichts 8C_826/2018 vom 14. August 2019 E. 3.2.2). Die 1971 geborene Beschwerdegegnerin bezieht nicht durchgehend seit mindestens 15 Jahren eine Rente und ist auch noch nicht 55 Jahre alt (Rentenaufhebung im Jahr 2009, Rentenzusprache erst wieder ab März 2011 [VB 60 S. 12; 115]). Zudem war sie bis auf die kurze Zeit des Bezugs einer ganzen Rente von September 2020 bis Februar 2021 durchgehend 50 % arbeitsfähig. Die gleichwohl bestehende langjährige Absenz vom Ar- beitsmarkt ist folglich auf invaliditätsfremde Gründe zurückzuführen, was einen Anspruch auf berufliche Massnahme vor Rentenaufhebung aus-</w:t>
      </w:r>
    </w:p>
    <w:p>
      <w:r>
        <w:t>- 8 - schliesst und weshalb die Beschwerdegegnerin die Beschwerdeführerin auf den Weg der Selbsteingliederung verweisen durfte.</w:t>
      </w:r>
    </w:p>
    <w:p>
      <w:r>
        <w:rPr>
          <w:b/>
        </w:rPr>
        <w:t>E. 6</w:t>
      </w:r>
    </w:p>
    <w:p>
      <w:r>
        <w:t>Soweit die Beschwerdeführerin schliesslich sinngemäss die fehlende Vor- nahme eines Einkommensvergleichs rügt, so ist festzuhalten, dass gemäss SMAB Gutachten die Arbeitsfähigkeit auch in angestammter Tätigkeit 50 % beträgt, wodurch der von der Beschwerdegegnerin vorgenommene Prozentvergleich grundsätzlich als zulässig zu erachten ist (vgl. Urteil des Bundesgerichts 8C_295/2017 vom 27. September 2017 E. 6.5 und 8C_860/2015 vom 30. Juni 2016 E. 5.3). Weil aber Validen- und Invaliden- einkommen ausgehend vom selben Tabellenlohn zu berechnen sind und nicht die Erwerbseinbusse in einer effektiv ausgeübten Tätigkeit zu bestim- men ist, ist bei der Berechnung des Invaliditätsgrades ein leidensbedingter Abzug vom Tabellenlohn zu prüfen (Urteil des Bundesge- richts 8C_365/2012 vom 30. Juli 2012 E. 7). Die Beschwerdeführerin äussert sich nicht konkret zum leidensbedingten Abzug, sondern hält mit Einwand vom 13. Februar 2023 lediglich fest, auf- grund des eingeschränkten Arbeitsplatzprofils werde sie Mühe haben, eine Stelle zu finden (VB 234). Bei einer Restarbeitsfähigkeit von 50 % würde erst einem leidensbedingten Abzug von mindestens 20 % eine Anspruchsrelevanz zukommen. Ein der- artig hoher Abzug ist unter dem anzuwendenden Recht jedoch den ausser- gewöhnlich schweren Fällen vorbehalten (z.B. Verlust einer Extremität oder ähnliches), wobei die Einschränkungen der Beschwerdeführerin diesen Schweregrad nicht erfüllen. Zwar trifft es zu, dass die Einschränkungen ge- mäss Gutachter mannigfaltig sind, jedoch sei zumindest die angestammte Tätigkeit weiterhin zumutbar ohne relevante zusätzliche Einschränkungen, auf welche ein potentieller Arbeitgeber in grösserem Umfange Rücksicht nehmen müsste. Auf eine abschliessende Prüfung des leidensbedingten Abzugs kann folglich verzichtet werden, da selbst bei Gewährung eines Abzugs von 15 % weiterhin ein Anspruch auf eine halbe Rente bestehen würde (IV-Grad: 58 % [100-0.5*0.85/100]).</w:t>
      </w:r>
    </w:p>
    <w:p>
      <w:r>
        <w:rPr>
          <w:b/>
        </w:rPr>
        <w:t>E. 7</w:t>
      </w:r>
    </w:p>
    <w:p>
      <w:r>
        <w:t>Zusammenfassend verfangen die Rügen der Beschwerdeführerin gegen die angefochtene(n) Verfügung(en) nicht, weshalb die Herabsetzung des Rentenanspruchs per 1. März 2021 zu Recht erfolgte und die Beschwerde vom 12. September 2023 bzw. vom 27. September 2023 abzuweisen ist.</w:t>
      </w:r>
    </w:p>
    <w:p>
      <w:r>
        <w:rPr>
          <w:b/>
        </w:rPr>
        <w:t>E. 8.1</w:t>
      </w:r>
    </w:p>
    <w:p>
      <w:r>
        <w:t>Gemäss Art. 69 Abs. 1bis IVG ist das Verfahren kostenpflichtig. Die Kosten werden nach dem Verfahrensaufwand und unabhängig vom Streitwert im</w:t>
      </w:r>
    </w:p>
    <w:p>
      <w:r>
        <w:t>- 9 - Rahmen von Fr. 200.00 bis Fr. 1'000.00 festgesetzt. Für das vorliegende Verfahren betragen diese Fr. 800.00. Sie sind gemäss dem Verfahrensaus- gang der Beschwerdeführerin aufzuerlegen.</w:t>
      </w:r>
    </w:p>
    <w:p>
      <w:r>
        <w:rPr>
          <w:b/>
        </w:rPr>
        <w:t>E. 8.2</w:t>
      </w:r>
    </w:p>
    <w:p>
      <w:r>
        <w:t>Der Beschwerdeführerin steht nach dem Ausgang des Verfahrens (Art. 61 lit. g ATSG) und der Beschwerdegegnerin aufgrund ihrer Stellung als Sozi- alversicherungsträgerin (BGE 126 V 143 E. 4 S. 149 ff.) kein Anspruch auf Parteientschädigung zu. Das Versicherungsgericht erkennt: 1. Die Beschwerde wird abgewiesen. 2. Die Verfahrenskosten von Fr. 800.00 werden der Beschwerdeführerin auf- erlegt. 3. Es werden keine Parteientschädigungen zugesprochen.</w:t>
      </w:r>
    </w:p>
    <w:p>
      <w:r>
        <w:t>- 10 -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12. Februar 2024 Versicherungsgericht des Kantons Aargau 3. Kammer Die Präsidentin: Die Gerichtsschreiberin i.V.: Gössi Comiotto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