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VBE.2023.347 vom 29. Januar 2024</w:t>
      </w:r>
    </w:p>
    <w:p>
      <w:r>
        <w:t>Ag Versicherungsgericht, 2024-01-29, DE</w:t>
      </w:r>
    </w:p>
    <w:p>
      <w:r>
        <w:rPr>
          <w:b/>
        </w:rPr>
        <w:t xml:space="preserve">Quelle: </w:t>
      </w:r>
      <w:r>
        <w:t>https://mcp.opencaselaw.ch/entscheid/ag_versicherungsgericht_VBE.2023.347</w:t>
      </w:r>
    </w:p>
    <w:p>
      <w:r>
        <w:t>FR: AG_VERSICHERUNGSGERICHT VBE.2023.347 du 29 janvier 2024</w:t>
      </w:r>
    </w:p>
    <w:p>
      <w:r>
        <w:t>IT: AG_VERSICHERUNGSGERICHT VBE.2023.347 del 29 gennaio 2024</w:t>
      </w:r>
    </w:p>
    <w:p>
      <w:pPr>
        <w:pStyle w:val="Heading2"/>
      </w:pPr>
      <w:r>
        <w:t>Erwägungen</w:t>
      </w:r>
    </w:p>
    <w:p>
      <w:r>
        <w:rPr>
          <w:b/>
        </w:rPr>
        <w:t>E. 3</w:t>
      </w:r>
    </w:p>
    <w:p>
      <w:r>
        <w:t>Kammer Die Präsidentin: Die Gerichtsschreiberin: Gössi Reisinger</w:t>
      </w:r>
    </w:p>
    <w:p>
      <w:r>
        <w:rPr>
          <w:b/>
        </w:rPr>
        <w:t>E. 3.1</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 ausgang dem Beschwerdeführer aufzuerlegen.</w:t>
      </w:r>
    </w:p>
    <w:p>
      <w:r>
        <w:rPr>
          <w:b/>
        </w:rPr>
        <w:t>E. 3.2</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Auf die Beschwerde wird nicht eingetreten. 2. Die Verfahrenskosten von Fr. 400.00 werden dem Beschwerdeführer auf- erlegt.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