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VBE.2023.329 vom 2. April 2024</w:t>
      </w:r>
    </w:p>
    <w:p>
      <w:r>
        <w:t>Ag Versicherungsgericht, 2024-04-02, DE</w:t>
      </w:r>
    </w:p>
    <w:p>
      <w:r>
        <w:rPr>
          <w:b/>
        </w:rPr>
        <w:t xml:space="preserve">Quelle: </w:t>
      </w:r>
      <w:r>
        <w:t>https://mcp.opencaselaw.ch/entscheid/ag_versicherungsgericht_VBE.2023.329</w:t>
      </w:r>
    </w:p>
    <w:p>
      <w:r>
        <w:t>FR: AG_VERSICHERUNGSGERICHT VBE.2023.329 du 2 avril 2024</w:t>
      </w:r>
    </w:p>
    <w:p>
      <w:r>
        <w:t>IT: AG_VERSICHERUNGSGERICHT VBE.2023.329 del 2 aprile 2024</w:t>
      </w:r>
    </w:p>
    <w:p>
      <w:pPr>
        <w:pStyle w:val="Heading2"/>
      </w:pPr>
      <w:r>
        <w:t>Erwägungen</w:t>
      </w:r>
    </w:p>
    <w:p>
      <w:r>
        <w:rPr>
          <w:b/>
        </w:rPr>
        <w:t>E. 4</w:t>
      </w:r>
    </w:p>
    <w:p>
      <w:r>
        <w:t>Kammer Der Präsident: Die Gerichtsschreiberin i.V.: Roth Comiotto</w:t>
      </w:r>
    </w:p>
    <w:p>
      <w:r>
        <w:rPr>
          <w:b/>
        </w:rPr>
        <w:t>E. 4.1</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Da diesem die unentgeltliche</w:t>
      </w:r>
    </w:p>
    <w:p>
      <w:r>
        <w:t>- 11 - Rechtspflege bewilligt wurde, sind die Kosten einstweilen lediglich vorzu- merken.</w:t>
      </w:r>
    </w:p>
    <w:p>
      <w:r>
        <w:rPr>
          <w:b/>
        </w:rPr>
        <w:t>E. 4.2</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rPr>
          <w:b/>
        </w:rPr>
        <w:t>E. 4.3</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von Fr. 400.00 werden dem Beschwerdeführer auf- erlegt. Zufolge Bewilligung der unentgeltlichen Rechtspflege werden sie einstweilen vorgemerkt.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