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VBE.2023.285 vom 9. Januar 2024</w:t>
      </w:r>
    </w:p>
    <w:p>
      <w:r>
        <w:t>Ag Versicherungsgericht, 2024-01-09, DE</w:t>
      </w:r>
    </w:p>
    <w:p>
      <w:r>
        <w:rPr>
          <w:b/>
        </w:rPr>
        <w:t xml:space="preserve">Quelle: </w:t>
      </w:r>
      <w:r>
        <w:t>https://mcp.opencaselaw.ch/entscheid/ag_versicherungsgericht_VBE.2023.285</w:t>
      </w:r>
    </w:p>
    <w:p>
      <w:r>
        <w:t>FR: AG_VERSICHERUNGSGERICHT VBE.2023.285 du 9 janvier 2024</w:t>
      </w:r>
    </w:p>
    <w:p>
      <w:r>
        <w:t>IT: AG_VERSICHERUNGSGERICHT VBE.2023.285 del 9 gennaio 2024</w:t>
      </w:r>
    </w:p>
    <w:p>
      <w:pPr>
        <w:pStyle w:val="Heading2"/>
      </w:pPr>
      <w:r>
        <w:t>Erwägungen</w:t>
      </w:r>
    </w:p>
    <w:p>
      <w:r>
        <w:rPr>
          <w:b/>
        </w:rPr>
        <w:t>E. 27</w:t>
      </w:r>
    </w:p>
    <w:p>
      <w:r>
        <w:t>März 2012 E. 3.3).</w:t>
      </w:r>
    </w:p>
    <w:p>
      <w:r>
        <w:t>- 12 - 4. 4.1. Nach dem Dargelegten ist die Beschwerde in dem Sinne gutzuheissen, dass der angefochtene Einspracheentscheid vom 11. Mai 2023 aufzuhe- ben und die Sache zur weiteren Abklärung und zur Neuverfügung an die Beschwerdegegnerin zurückzuweisen ist. 4.2. Das Verfahren ist kostenlos (Art. 61 lit. fbis ATSG). 4.3. 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wird der Einspracheentscheid vom 11. Mai 2023 aufgehoben und die Sache zur weiteren Abklärung im Sinne der Erwägungen und zur Neuverfügung an die Beschwerdegegnerin zurückgewiesen. 2. Es werden keine Verfahrenskosten erhoben. 3. Die Beschwerdegegnerin wird verpflichtet, dem Beschwerdeführer die Par- teikosten in richterlich festgesetzter Höhe von Fr. 3'300.00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w:t>
      </w:r>
    </w:p>
    <w:p>
      <w:r>
        <w:t>- 13 -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9. Januar 2024 Versicherungsgericht des Kantons Aargau 2. Kammer Die Präsidentin: Die Gerichtsschreiberin: Peterhans Wietlisbach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