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VBE.2022.435 vom 11. Mai 2023</w:t>
      </w:r>
    </w:p>
    <w:p>
      <w:r>
        <w:t>Ag Versicherungsgericht, 2023-05-11, DE</w:t>
      </w:r>
    </w:p>
    <w:p>
      <w:r>
        <w:rPr>
          <w:b/>
        </w:rPr>
        <w:t xml:space="preserve">Quelle: </w:t>
      </w:r>
      <w:r>
        <w:t>https://mcp.opencaselaw.ch/entscheid/ag_versicherungsgericht_VBE.2022.435</w:t>
      </w:r>
    </w:p>
    <w:p>
      <w:r>
        <w:t>FR: AG_VERSICHERUNGSGERICHT VBE.2022.435 du 11 mai 2023</w:t>
      </w:r>
    </w:p>
    <w:p>
      <w:r>
        <w:t>IT: AG_VERSICHERUNGSGERICHT VBE.2022.435 del 11 maggio 2023</w:t>
      </w:r>
    </w:p>
    <w:p>
      <w:pPr>
        <w:pStyle w:val="Heading2"/>
      </w:pPr>
      <w:r>
        <w:t>Erwägungen</w:t>
      </w:r>
    </w:p>
    <w:p>
      <w:r>
        <w:rPr>
          <w:b/>
        </w:rPr>
        <w:t>E. 3</w:t>
      </w:r>
    </w:p>
    <w:p>
      <w:r>
        <w:t>Unter Kosten- und Entschädigungsfolgen zulasten der Beschwerdegegne- rin." 2.2. Mit Vernehmlassung vom 20. Januar 2023 beantragte die Beschwerde- gegnerin die Abweisung der Beschwerde. 2.3. Mit instruktionsrichterlicher Verfügung vom 27. Januar 2023 wurde das Ge- such des Beschwerdeführers um unentgeltliche Rechtspflege bewilligt und MLaw Jonas Steiner, Rechtsanwalt, Aarau, zu seinem unentgeltlichen Ver- treter ernannt. Das Versicherungsgericht zieht in Erwägung: 1. Streitig und zu prüfen ist, ob die Beschwerdegegnerin mit Verfügung vom 31. Oktober 2022 auf die Neuanmeldung des Beschwerdeführers zu Recht nicht eingetreten ist (Vernehmlassungsbeilage [VB] 81). 2. 2.1. Die Zusprechung einer Invalidenrente aufgrund einer Neuanmeldung, nachdem eine Rente wegen eines zu geringen Invaliditätsgrades verwei- gert oder eingestellt wurde (vgl. Art. 87 Abs. 3 i.V.m. Abs. 2 IVV), bedarf, analog zur Rentenrevision (Art. 17 Abs. 1 ATSG), einer anspruchsrelevan- ten Änderung des Invaliditätsgrades (vgl. BGE 133 V 108 E. 5 S. 110 ff.; 130 V 71; 117 V 198 E. 3 S. 198 f.; 109 V 108 E. 2 S. 114 f.; Urteil des Bun- desgerichts 8C_776/2008 vom 18. Juni 2009 E. 2). Anlass zur Revision einer Invalidenrente im Sinne von Art. 17 Abs. 1 ATSG gibt jede wesentli- che Änderung in den tatsächlichen Verhältnissen, die geeignet ist, den In- validitätsgrad und damit den Rentenanspruch zu beeinflussen (BGE 134 V 131 E. 3 mit Hinweisen). 2.2. 2.2.1. Die versicherte Person muss mit der Neuanmeldung die massgebliche Tat- sachenänderung glaubhaft machen. Der Untersuchungsgrundsatz, wo- nach das Gericht von Amtes wegen für die richtige und vollständige Abklä- rung des rechtserheblichen Sachverhalts zu sorgen hat, spielt insoweit</w:t>
      </w:r>
    </w:p>
    <w:p>
      <w:r>
        <w:t>- 4 - nicht (statt vieler: Urteil des Bundesgerichts 8C_647/2019 vom 31. Ja- nuar 2020 E. 2.3. mit Hinweis). 2.2.2. Unter Glaubhaftmachen ist nicht der Beweis nach dem im Sozialversiche- rungsrecht allgemein massgebenden Grad der überwiegenden Wahr- scheinlichkeit zu verstehen. Die Beweisanforderungen sind vielmehr he- rabgesetzt,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8C_596/2019 vom 15. Januar 2020 E. 3.2 mit Hinwei- sen). Bei der Prüfung der Eintretensvoraussetzung der glaubhaft gemach- ten Änderung berücksichtigt die Verwaltung unter anderem, ob die frühere Verfügung nur kurze oder schon längere Zeit zurückliegt (MEYER/REICH- MUTH, Rechtsprechung des Bundesgerichts zum Sozialversicherungsrecht, Bundesgesetz über die Invalidenversicherung [IVG], 4. Aufl., 2022, N. 118 ff. zu Art. 30 IVG mit Hinweis auf BGE 109 V 108 E. 2 S. 114; Urteil des Bundesgerichts 8C_389/2018 vom 8. Januar 2019 E. 4.1). 2.3.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122 zu Art. 30-31 mit Hinweisen auf BGE 130 V 71 E. 3 S. 73 ff.; vgl. auch BGE 133 V 108 E. 5 S. 110 ff.).</w:t>
      </w:r>
    </w:p>
    <w:p>
      <w:r>
        <w:rPr>
          <w:b/>
        </w:rPr>
        <w:t>E. 3.1</w:t>
      </w:r>
    </w:p>
    <w:p>
      <w:r>
        <w:t>Zwischen den Parteien ist zu Recht unumstritten, dass die Verfügung vom 29. Mai 2017 (VB 52) vorliegend den massgebenden (retrospektiven) Ver- gleichszeitpunkt bildet (vgl. vorne E. 2.3.). Die Bemessung der Invalidität erfolgte damals nach der gemischten Methode, ausgehend von einer 50%igen Erwerbstätigkeit und einer 50%igen Haushaltstätigkeit des Be- schwerdeführers im Gesundheitsfall. In medizinischer Hinsicht stützte sich die Beschwerdegegnerin auf eine Aktenbeurteilung von RAD-Arzt Prof. Dr. med. B., Facharzt für Orthopädische Chirurgie und Traumatologie des Bewegungsapparates, vom 12. Juli 2016. Dieser ging – unter Verweis auf die kreisärztliche Beurteilung der Suva – davon aus, dass in einer optimal angepassten Arbeit mit praktisch ausschliesslich sitzender Tätigkeit eine Arbeitsfähigkeit von 50 % bestehe (VB 44 S. 4). Im Aufga- benbereich stützte sich die Beschwerdegegnerin auf den Bericht vom</w:t>
      </w:r>
    </w:p>
    <w:p>
      <w:r>
        <w:t>- 5 - 23. Januar 2017 über die Abklärung an Ort und Stelle vom 18. Ja- nuar 2017, wonach eine behinderungsbedingte Einschränkung im Haus- halt von 1.5 % seit Februar 2013 bestehe (VB 46). Die Beschwerdegegne- rin ermittelte mittels der gemischten Methode einen rentenausschliessen- den Invaliditätsgrad von 26 %.</w:t>
      </w:r>
    </w:p>
    <w:p>
      <w:r>
        <w:rPr>
          <w:b/>
        </w:rPr>
        <w:t>E. 3.2.1</w:t>
      </w:r>
    </w:p>
    <w:p>
      <w:r>
        <w:t>Im Rahmen des Neuanmeldungsverfahrens brachte der Beschwerdeführer vor, sein Gesundheitszustand habe sich verschlechtert (VB 73). In seiner Stellungnahme vom 27. September 2022 führte er aus, er sei gerne bereit, die Lohnabrechnungen der letzten drei Jahre einzureichen, welche zeigen könnten, dass er nur in einem 50%-Pensum gearbeitet habe (VB 78). Der zum damaligen Zeitpunkt noch nicht anwaltlich vertretene Beschwerdefüh- rer machte damit sinngemäss geltend, er wäre mittlerweile im Gesundheits- fall in einem höheren Pensum erwerbstätig, es sei ihm jedoch höchstens eine Arbeitsfähigkeit von 50 % in einer angepassten Tätigkeit zumutbar. Eine neuanmeldungsrechtlich relevante Tatsachenänderung kann unter Umständen auch in einer wesentlichen Änderung hinsichtlich des für die Methodenwahl massgeblichen (hypothetischen) Sachverhalts bestehen (BGE 144 I 28 E. 2.2 S. 30; 130 V 343 E. 3.5 S. 349; 117 V 198 E. 3b S. 199). Bevor auf den Gesundheitszustand des Beschwerdeführers einzu- gehen ist, ist daher zunächst zu klären, ob, wie vom Beschwerdeführer vor- gebracht, eine hypothetische Steigerung seines Arbeitspensums eingetre- ten ist.</w:t>
      </w:r>
    </w:p>
    <w:p>
      <w:r>
        <w:rPr>
          <w:b/>
        </w:rPr>
        <w:t>E. 3.2.2</w:t>
      </w:r>
    </w:p>
    <w:p>
      <w:r>
        <w:t>Der Status einer versicherten Person bestimmt sich nach den erwerblichen Verhältnissen, in denen sich die versicherte Person befinden würde, wenn sie nicht gesundheitlich beeinträchtigt wäre (Art. 24septies Abs. 1 IVV). Die versicherte Person gilt als erwerbstätig nach Art. 28a Abs. 1 IVG, wenn sie im Gesundheitsfall eine Erwerbstätigkeit ausüben würde, die einem Be- schäftigungsgrad von hundert Prozent oder mehr entspricht (Art. 24septies Abs. 2 lit. a IVV). Als nicht erwerbstätig im Sinne von Art. 28a Abs. 2 IVG gilt sie, wenn sie im Gesundheitsfall keine Erwerbstätigkeit ausüben würde (Art. 24septies Abs. 2 lit. b IVV). Wenn die versicherte Person im Gesund- heitsfall eine Erwerbstätigkeit ausüben würde, die einem Beschäftigungs- grad von weniger als hundert Prozent entspricht, liegt Teilerwerbstätigkeit vor (Art. 24septies Abs. 2 lit. c IVV i.V.m. Art. 28a Abs. 3 IVG). Bei im Haushalt tätigen Personen im Besonderen sind die persönlichen, familiären, sozialen und erwerblichen Verhältnisse ebenso wie allfällige Er- ziehungs- und Betreuungsaufgaben gegenüber Kindern, das Alter, die be- ruflichen Fähigkeiten und die Ausbildung sowie die persönlichen Neigun-</w:t>
      </w:r>
    </w:p>
    <w:p>
      <w:r>
        <w:t>- 6 - gen und Begabungen zu berücksichtigen (BGE 125 V 146 E. 2c S. 150; Ur- teil des Bundesgerichts 9C_295/2018 vom 26. Juli 2018 E. 3.1.1 mit Hin- weisen). Es kommt somit nicht nur auf die finanzielle Notwendigkeit, eine Erwerbstätigkeit wiederaufzunehmen oder auszubauen, an (vgl. BGE 117 V 194 E. 3b S. 195). Die Statusfrage beurteilt sich praxisgemäss nach den Verhältnissen, wie sie sich bis zum Erlass der Verwaltungsverfügung ent- wickelt haben, wobei für die hypothetische Annahme einer im Gesundheits- fall ausgeübten (Teil-)Erwerbstätigkeit der im Sozialversicherungsrecht üb- liche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(MEYER/REICHMUTH, a.a.O., N. 22 ff. zu Art. 5 IVG mit Hinweisen). Die im Rahmen der Haushaltsabklärung gemachten Aussagen sind praxisge- mäss stärker zu gewichten als spätere, anderslautende Erklärungen, wel- che von Überlegungen sozialversicherungsrechtlicher Natur beeinflusst sein können (SVR 2017 IV Nr. 2 S. 2 ff., 9C_926/2015 E. 4.2.4 mit Hinweis auf BGE 121 V 45 E. 2a S. 47; Urteil des Bundesgerichts 8C_133/2022 vom 7. September 2022 E. 4.1.2).</w:t>
      </w:r>
    </w:p>
    <w:p>
      <w:r>
        <w:rPr>
          <w:b/>
        </w:rPr>
        <w:t>E. 3.3</w:t>
      </w:r>
    </w:p>
    <w:p>
      <w:r>
        <w:t>Aus den Akten lässt sich diesbezüglich Folgendes entnehmen:</w:t>
      </w:r>
    </w:p>
    <w:p>
      <w:r>
        <w:rPr>
          <w:b/>
        </w:rPr>
        <w:t>E. 3.3.1</w:t>
      </w:r>
    </w:p>
    <w:p>
      <w:r>
        <w:t>Im Fragebogen der Beschwerdegegnerin betreffend Erwerbstätigkeit/ Haushalt vom 12. März 2015 wurde die Frage nach einer ausserhäuslichen Erwerbstätigkeit im Gesundheitsfall vom Beschwerdeführer offengelassen (VB 29).</w:t>
      </w:r>
    </w:p>
    <w:p>
      <w:r>
        <w:rPr>
          <w:b/>
        </w:rPr>
        <w:t>E. 3.3.2</w:t>
      </w:r>
    </w:p>
    <w:p>
      <w:r>
        <w:t>Einer Telefonnotiz der Unfallversicherung vom 22. Dezember 2015 ist zu entnehmen, dass der der Beschwerdeführer angab, sich vor vier Jahren von seiner Ehefrau getrennt und die vier Kinder übernommen zu haben. Dies sei der Grund gewesen, warum er sein Arbeitspensum reduziert habe (VB 41.24).</w:t>
      </w:r>
    </w:p>
    <w:p>
      <w:r>
        <w:rPr>
          <w:b/>
        </w:rPr>
        <w:t>E. 3.3.3</w:t>
      </w:r>
    </w:p>
    <w:p>
      <w:r>
        <w:t>Dem Bericht vom 23. Januar 2017 über die Abklärung an Ort und Stelle vom 18. Januar 2017 kann entnommen werden, dass der Beschwerdefüh- rer mit seinem Stiefsohn (Jahrgang 1999) sowie seinen drei Kindern (Jahr- gänge 2001; 2004 und 2006) in einem Haushalt wohnte (VB 46 S. 3). Der Beschwerdeführer habe seit 1995 in einem Vollzeitpensum gearbeitet. Seit der Trennung lebten seine drei Kinder sowie der Stiefsohn bei ihm und er habe sein Pensum von 100 % auf 50 % reduziert und sich der Kinderbe- treuung gewidmet und sich um den Haushalt gekümmert. Der Beschwer-</w:t>
      </w:r>
    </w:p>
    <w:p>
      <w:r>
        <w:t>- 7 - deführer teilte der Abklärungsperson mit, er habe immer geplant, sein Pen- sum wieder von 50 % auf 100 % zu erhöhen, sobald das jüngste Kind zwölf- jährig sei. Im Bericht wird sodann festgehalten, es sei mit überwiegender Wahrscheinlichkeit davon auszugehen, dass der Beschwerdeführer im Ge- sundheitsfall weiterhin in einem 50%-Pensum gearbeitet hätte. Die Erhö- hung wäre erst zukünftig erfolgt und müsse später anhand einer Rentenre- vision geprüft werden (VB 46 S. 2).</w:t>
      </w:r>
    </w:p>
    <w:p>
      <w:r>
        <w:rPr>
          <w:b/>
        </w:rPr>
        <w:t>E. 3.4</w:t>
      </w:r>
    </w:p>
    <w:p>
      <w:r>
        <w:t>Das jüngste Kind des Beschwerdeführers wurde am X. Juni 2006 geboren, hat folglich am X. Juni 2018 das zwölfte Altersjahr vollendet und war zum Zeitpunkt der Neuanmeldung des Beschwerdeführers am 24. Januar 2022 über 15 Jahre alt (VB 5 S. 3). Vor dem Hintergrund, dass der Beschwerde- führer der Abklärungsperson mittgeteilt hat, er habe immer geplant, sein Arbeitspensum auf 100 % zu erhöhen, wenn das jüngste Kind zwölfjährig sei (vgl. E. 3.3.3. hiervor), und des Umstands, dass er bis zur Trennung und der Übernahme der Obhut der vier Kinder in einem 100%-Pensum tätig war, erscheint es glaubhaft, dass der Beschwerdeführer zum Zeitpunkt der Neuanmeldung im Gesundheitsfall einer beruflichen Tätigkeit in einem 100%-Pensum nachgehen würde. Damit ist ein Statuswechsel und somit eine neuanmeldungsrechtlich relevante Tatsachenänderung zumindest glaubhaft gemacht. Die Frage, ob sich der Gesundheitszustand des Beschwerdeführers seit der rentenablehnenden Verfügung erheblich verändert hat, kann folglich offenbleiben (vgl. Urteil des Bundesgerichts 8C_407/2016 vom 12. Sep- tember 2016 E. 2.2.3).</w:t>
      </w:r>
    </w:p>
    <w:p>
      <w:r>
        <w:rPr>
          <w:b/>
        </w:rPr>
        <w:t>E. 3.5</w:t>
      </w:r>
    </w:p>
    <w:p>
      <w:r>
        <w:t>Zusammenfassend ist festzuhalten, dass der Beschwerdeführer eine an- spruchserhebliche Sachverhaltsänderung zumindest glaubhaft gemacht hat. In Gutheissung der Beschwerde ist daher die angefochtene Verfügung vom 31. Oktober 2022 aufzuheben und die Sache an die Beschwerdegeg- nerin zurückzuweisen, damit diese auf das neuerliche Leistungsbegehren vom 24. Januar 2022 eintrete, es materiell prüfe und nach erfolgter Abklä- rung über den Leistungsanspruch verfüge.</w:t>
      </w:r>
    </w:p>
    <w:p>
      <w:r>
        <w:rPr>
          <w:b/>
        </w:rPr>
        <w:t>E. 4.1</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t>- 8 -</w:t>
      </w:r>
    </w:p>
    <w:p>
      <w:r>
        <w:rPr>
          <w:b/>
        </w:rPr>
        <w:t>E. 4.2</w:t>
      </w:r>
    </w:p>
    <w:p>
      <w:r>
        <w:t>Ausgangsgemäss hat der Beschwerdeführer Anspruch auf Ersatz der rich- terlich festzusetzenden Parteikosten (Art. 61 lit. g ATSG). Diese sind dem unentgeltlichen Rechtsvertreter zu bezahlen. Das Versicherungsgericht erkennt: 1. In Gutheissung der Beschwerde wird die Verfügung vom 31. Oktober 2022 aufgehoben und die Sache an die Beschwerdegegnerin zurückgewiesen, damit diese auf die Neuanmeldung vom 24. Januar 2022 eintrete und ma- teriell über das Leistungsbegehren des Beschwerdeführers entscheide. 2. Die Verfahrenskosten von Fr. 800.00 werden der Beschwerdegegnerin auf- erlegt. 3. Die Beschwerdegegnerin wird verpflichtet, dem unentgeltlichen Rechtsver- treter des Beschwerdeführers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11. Mai 2023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