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VBE.2022.415 vom 2. Mai 2023</w:t>
      </w:r>
    </w:p>
    <w:p>
      <w:r>
        <w:t>Ag Versicherungsgericht, 2023-05-02, DE</w:t>
      </w:r>
    </w:p>
    <w:p>
      <w:r>
        <w:rPr>
          <w:b/>
        </w:rPr>
        <w:t xml:space="preserve">Quelle: </w:t>
      </w:r>
      <w:r>
        <w:t>https://mcp.opencaselaw.ch/entscheid/ag_versicherungsgericht_VBE.2022.415</w:t>
      </w:r>
    </w:p>
    <w:p>
      <w:r>
        <w:t>FR: AG_VERSICHERUNGSGERICHT VBE.2022.415 du 2 mai 2023</w:t>
      </w:r>
    </w:p>
    <w:p>
      <w:r>
        <w:t>IT: AG_VERSICHERUNGSGERICHT VBE.2022.415 del 2 maggio 2023</w:t>
      </w:r>
    </w:p>
    <w:p>
      <w:pPr>
        <w:pStyle w:val="Heading2"/>
      </w:pPr>
      <w:r>
        <w:t>Erwägungen</w:t>
      </w:r>
    </w:p>
    <w:p>
      <w:r>
        <w:rPr>
          <w:b/>
        </w:rPr>
        <w:t>E. 1</w:t>
      </w:r>
    </w:p>
    <w:p>
      <w:r>
        <w:t>Mit Verfügung vom 7. Juni 2022 erhob die Beschwerdegegnerin beim Be- schwerdeführer für das Beitragsjahr 2017 persönliche Beiträge für Selbst- ständigerwerbende von Fr. 301'664.40 (zuzüglich Verzugszinsen ab 1. Ja- nuar 2019 von Fr. 47'637.80) auf Basis eines Erwerbseinkommens aus selbstständiger Tätigkeit von Fr. 2'900'025.00, eines Zinsabzugs auf Eigen- kapital von Fr. 7'885.00 und einer Aufrechnung der persönlichen Beiträge von Fr. 308'900.40. Auf dieser Grundlage ermittelte die Beschwerdegegne- rin ein beitragspflichtiges Einkommen von gerundet Fr. 3'201'000.00. Ge- gen diese Beitragsverfügung erhob der Beschwerdeführer am 29. Ju- ni 2022 Einsprache, welche die Beschwerdegegnerin mit Einsprache- entscheid vom 24. Oktober 2022 abwies.</w:t>
      </w:r>
    </w:p>
    <w:p>
      <w:r>
        <w:rPr>
          <w:b/>
        </w:rPr>
        <w:t>E. 2</w:t>
      </w:r>
    </w:p>
    <w:p>
      <w:r>
        <w:t>Unter Kosten- und Entschädigungsfolgen."</w:t>
      </w:r>
    </w:p>
    <w:p>
      <w:r>
        <w:rPr>
          <w:b/>
        </w:rPr>
        <w:t>E. 2.1</w:t>
      </w:r>
    </w:p>
    <w:p>
      <w:r>
        <w:t>Gemäss Art. 4 Abs. 1 AHVG, Art. 3 Abs. 1 IVG und Art. 27 Abs. 2 EOG schulden erwerbstätige Versicherte Beiträge auf dem aus ihrer selbststän- digen oder unselbstständigen Erwerbstätigkeit fliessenden Einkommen. Als Einkommen aus selbstständiger Erwerbstätigkeit gilt jedes Erwerbsein- kommen, das nicht Entgelt für in unselbstständiger Stellung geleistete Ar- beit darstellt (Art. 9 Abs. 1 AHVG; dazu sogleich E. 2.2.). Die Festsetzung und der Bezug der AHV-Beiträge obliegen nach Art. 63 Abs. 1 lit. a und c AHVG der zuständigen Ausgleichskasse. Gleiches gilt für die IV- und EO- Beiträge (vgl. Art. 60 Abs. 2 IVG und Art. 21 Abs. 2 EOG i.V.m. Art. 63 Abs. 1 lit. a und c AHVG). Für die Bemessung der IV- und EO-Beiträge sind die Bestimmungen des AHVG sinngemäss anwendbar (Art. 3 Abs. 1 IVG, Art. 27 Abs. 2 EOG).</w:t>
      </w:r>
    </w:p>
    <w:p>
      <w:r>
        <w:rPr>
          <w:b/>
        </w:rPr>
        <w:t>E. 2.2</w:t>
      </w:r>
    </w:p>
    <w:p>
      <w:r>
        <w:t>Als selbstständiges Einkommen gelten laut Art. 17 AHVV alle in selbststän- diger Stellung erzielten Einkünfte aus einem Handels-, Industrie-, Ge- werbe-, Land- und Forstwirtschaftsbetrieb, aus einem freien Beruf, sowie aus jeder anderen selbstständigen Erwerbstätigkeit, einschliesslich der Ka- pital- und Überführungsgewinne nach Art. 18 Abs. 2 DBG und der Gewinne aus der Veräusserung von land- und forstwirtschaftlichen Grundstücken nach Art. 18 Abs. 4 DBG, mit Ausnahme der Einkünfte aus zu Geschäfts- vermögen erklärten Beteiligungen nach Art. 18 Abs. 2 DBG. Art. 17 AHVV nimmt die in Art. 18 Abs. 1 DBG verwendeten Begriffe wieder auf und ver- weist überdies bezüglich der Kapital- und Überführungsgewinne auf Art. 18 Abs. 2 DBG sowie hinsichtlich der Gewinne aus der Veräusserung von land- und forstwirtschaftlichen Grundstücken auf Art. 18 Abs. 4 DBG. Dies führt bei der Umschreibung des Einkommens aus selbständiger Tätigkeit zu einer Harmonisierung zwischen dem Beitragsrecht der AHV und dem Steuerrecht, soweit das AHVG und die AHVV keine abweichenden Rege- lungen enthalten (vgl. BGE 147 V 114 E. 3.1 und 3.2 S. 117 mit Hinweis auf BGE 134 V 250 E. 3.2 S. 253).</w:t>
      </w:r>
    </w:p>
    <w:p>
      <w:r>
        <w:rPr>
          <w:b/>
        </w:rPr>
        <w:t>E. 2.3</w:t>
      </w:r>
    </w:p>
    <w:p>
      <w:r>
        <w:t>Nach Art. 23 Abs. 1 AHVV obliegt es in der Regel den Steuerbehörden, das für die Berechnung der Beiträge Selbstständigerwerbender massgebende Erwerbseinkommen auf Grund der rechtskräftigen Veranlagung für die di- rekte Bundessteuer und das im Betrieb investierte Eigenkapital auf Grund der entsprechenden rechtskräftigen kantonalen Veranlagung zu ermitteln. Liegt keine rechtskräftige Veranlagung für die direkte Bundessteuer vor, so werden die massgebenden Steuerfaktoren der rechtskräftigen Veranla- gung für die kantonale Einkommenssteuer entnommen (Art. 23 Abs. 2 AHVV).</w:t>
      </w:r>
    </w:p>
    <w:p>
      <w:r>
        <w:t>- 5 - Diese Bindung betrifft mithin nicht die beitragsrechtliche Qualifikation und beschlägt daher nicht die Fragen, ob überhaupt Erwerbseinkommen und gegebenenfalls solches aus selbständiger oder unselbständiger Tätigkeit vorliegt und ob die Person, die das Einkommen bezogen hat, beitragspflich- tig ist. Somit haben die Ausgleichskassen ohne Bindung an die Steuermel- dung aufgrund des Rechts der Alters- und Hinterlassenenversicherung zu beurteilen, wer für ein von der Steuerbehörde gemeldetes Einkommen bei- tragspflichtig ist (BGE 121 V 80 E. 2c). Das gilt namentlich auch für die Qualifikation eines Vermögensbestandteils als Privat- oder Geschäftsver- mögen, zumal diese Unterscheidung steuerrechtlich häufig ohne Belang ist, da steuerrechtlich der Ertrag sowohl aus Privat- als auch aus Ge- schäftsvermögen steuerbar ist. Die Steuermeldung ist daher mit Bezug auf den Vermögensertrag keine zuverlässige Grundlage für die AHV-Beitrags- festsetzung, weshalb die Qualifikation als beitragsfreier Kapitalertrag auf Privatvermögen oder beitragspflichtiges Einkommen aus Geschäftsvermö- gen im Beitragsfestsetzungsverfahren erfolgen muss. In Bezug auf den Vermögensgewinn ist demgegenüber auch steuerrechtlich die Unterschei- dung von Geschäfts- und Privatvermögen von Bedeutung, weshalb sich die AHV-Behörden in der Regel auf die Steuermeldung verlassen können und eigene nähere Abklärungen nur dann vornehmen müssen, wenn sich ernst- hafte Zweifel an der Richtigkeit der Steuermeldung ergeben (BGE 134 V 250 E. 3.3 mit Hinweisen; Urteil des Bundesgerichts 9C_897/2013 vom 27. Juni 2014 E. 2.2.1 und 2.2.2 [in BGE 140 V 241 nicht publizierte Erwä- gungen).</w:t>
      </w:r>
    </w:p>
    <w:p>
      <w:r>
        <w:rPr>
          <w:b/>
        </w:rPr>
        <w:t>E. 2.4</w:t>
      </w:r>
    </w:p>
    <w:p>
      <w:r>
        <w:t>Ausgangspunkt für die Beurteilung der Frage, ob Einkünfte oder Vermö- genszuwächse (Erträge, Gewinne) aus einer selbstständigen Erwerbstätig- keit im Sinne von Art. 4 Abs. 1 und Art. 9 Abs. 1 AHVG herrühren, bildet die bundesgerichtliche Rechtsprechung zur Abgrenzung zwischen Privat- und Geschäftsvermögen (BGE 125 V 383 E. 2b). Das AHV-Beitragsrecht ver- weist bezüglich des Begriffs des Geschäftsvermögens auf das Steuerrecht (BGE 147 V 114 E. 3.3.1.1 S. 118). Gemäss Art. 18 Abs. 2 Satz 3 DBG und Art. 8 Abs. 2 Satz 1 des Bundesgesetzes über die Harmonisierung der direkten Steuern der Kantone und Gemeinden (StHG) gelten als Geschäftsvermögen alle Vermögenswerte, die ganz oder vorwiegend der selbständigen Erwerbstätigkeit dienen.</w:t>
      </w:r>
    </w:p>
    <w:p>
      <w:r>
        <w:rPr>
          <w:b/>
        </w:rPr>
        <w:t>E. 3.1</w:t>
      </w:r>
    </w:p>
    <w:p>
      <w:r>
        <w:t>Die Beschwerdegegnerin ging im angefochtenen Einspracheentscheid (VB 96 ff.) davon aus, die Liegenschaft B in Z. (nachfolgend: Liegenschaft B) sei dem Geschäftsvermögen zuzuordnen. Zur Begründung berief sie sich einzig auf die Angaben der Steuerbehörde Y., wonach die Liegenschaft B gemäss der definitiven Steuerveranlagung vom Jahr 2014 und sodann auch in den Folgejahren als Geschäftsvermögen qualifiziert</w:t>
      </w:r>
    </w:p>
    <w:p>
      <w:r>
        <w:t>- 6 - wurde mit der Begründung, der Beschwerdeführer habe an dieser Liegenschaft mit seiner GmbH Bauarbeiten durchgeführt (VB 68; 94). Aus den Ausführungen des Beschwerdeführers geht indes hervor, dass die Liegenschaft B von der Steuerbehörde X. bis und mit Steuerperiode 2007 und für die Jahre 2008 sowie 2009 von der Steuerbehörde Y. als Privatvermögen qualifiziert wurde (Beschwerdebeilagen [BB] 10; 11; 12). Ob die Liegenschaft B bis und mit dem Jahr 2013 ebenfalls von der Steuerbehörde Y. als Privatvermögen qualifiziert wurde, geht aus den Akten nicht hervor. Zudem ist gestützt auf die Akten auch nicht ersichtlich, weshalb die Liegenschaft B von der Steuerbehörde Y. in einer Periode dem Privatvermögen, in einer anderen (ab Steuerperiode 2014; VB 68) dem Ge- schäftsvermögen zugeordnet wurde. Somit ist festzuhalten, dass nicht nur die Steuerbehörde X., sondern auch die Steuerbehörde Y. die Liegenschaft B unterschiedlich qualifiziert hatte. Die Steuermeldung 2017 der Steuerbehörde Y. erweist sich somit nicht als taugliche Grundlage für die Beitragsfestsetzung. Dies umso mehr, als die Beschwerdegegnerin selbst festgehalten hat, dass es auch sein könne, dass die Liegenschaft B unbeabsichtigt als Geschäftsvermögen veranlagt worden sei (vgl. VB 69).</w:t>
      </w:r>
    </w:p>
    <w:p>
      <w:r>
        <w:rPr>
          <w:b/>
        </w:rPr>
        <w:t>E. 3.2</w:t>
      </w:r>
    </w:p>
    <w:p>
      <w:r>
        <w:t>Rechtsprechungsgemäss bezieht sich die Bindungswirkung der Steuerver- anlagung nur auf Qualifikationen, welche steuerliche Auswirkungen hatten (vgl. E. 2.3. hiervor; BGE 147 V 114 E. 3.4.2 S. 120 f.; Urteil des Bundes- gerichts 9C_347/2021 vom 14. Oktober 2021 E. 2.2.3). Vorliegend zeitigte die Qualifikation der Liegenschaft (neu) als Geschäftsvermögen aber – wie vom Beschwerdeführer dargelegt (vgl. Beschwerde S. 3 f.) – gerade keine steuerrechtlichen Auswirkungen, womit eine Bindungswirkung zu vernei- nen ist und die steuerrechtliche Qualifikation allenfalls als Indiz für die AHV- rechtliche Beitragsfestsetzung dient. Indem die Beschwerdegegnerin sich zur Berechnung der persönlichen Beiträge für das Beitragsjahr 2017 einzig auf die Steuerveranlagung 2017 der Steuerbehörde Y. stützte, ohne – trotz offensichtlich erkennbarer Unklarheiten hinsichtlich der steuerrechtlichen Qualifikation durch die Steuerbehörde Y. – weitere Abklärungen zu tätigen und gestützt darauf eine eigene Qualifikation der Liegenschaft B als Privat- oder Geschäftsvermögen vorzunehmen, hat sie den Untersuchungsgrundsatz (vgl. Art. 43 Abs. 1 ATSG; UELI KIESER, ATSG- Kommentar, 4. Aufl. 2020, N. 13 ff. zu Art. 43 ATSG) verletzt. Die Sache ist demnach zu weiteren entsprechenden Abklärungen an die Be- schwerdegegnerin zurückzuweisen. Dabei wird sie insbesondere sämtliche (früheren) Steuerakten beizuziehen haben und unter Würdigung der ge- samten Gegebenheiten eine begründete Qualifikation der Liegenschaft B als Geschäfts- oder Privatvermögen im Beitragsfestsetzungsverfahren vorzunehmen haben.</w:t>
      </w:r>
    </w:p>
    <w:p>
      <w:r>
        <w:t>- 7 -</w:t>
      </w:r>
    </w:p>
    <w:p>
      <w:r>
        <w:rPr>
          <w:b/>
        </w:rPr>
        <w:t>E. 4.1</w:t>
      </w:r>
    </w:p>
    <w:p>
      <w:r>
        <w:t>Nach dem Dargelegten ist die Beschwerde in dem Sinne gutzuheissen, als der angefochtene Einspracheentscheid vom 24. Oktober 2022 aufzuheben und die Sache zur weiteren Abklärung im Sinne der Erwägungen und zur Neuverfügung an die Beschwerdegegnerin zurückzuweisen ist.</w:t>
      </w:r>
    </w:p>
    <w:p>
      <w:r>
        <w:rPr>
          <w:b/>
        </w:rPr>
        <w:t>E. 4.2</w:t>
      </w:r>
    </w:p>
    <w:p>
      <w:r>
        <w:t>Das vorliegende Verfahren betrifft Beiträge und damit keine Leistung im Sinne von Art. 61 lit. fbis ATSG. Die Kosten werden nach dem Verfahrens- aufwand und unabhängig vom Streitwert im Rahmen von Fr. 200.00 bis Fr. 1'000.00 festgesetzt (§ 22 Abs. 1 lit. e VKD). Für das vorliegende Ver- fahren betragen diese Fr. 400.00. Sie sind gemäss dem Verfahrensaus- gang der Beschwerdegegnerin aufzuerlegen.</w:t>
      </w:r>
    </w:p>
    <w:p>
      <w:r>
        <w:rPr>
          <w:b/>
        </w:rPr>
        <w:t>E. 4.3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der Einspracheentscheid vom 24. Oktober 2022 aufgehoben und die Sache zur weiteren Abklärung im Sinne der Erwägungen und Neuverfügung an die Beschwerdegegnerin zurückgewiesen. 2. Die Verfahrenskosten von Fr. 400.00 werden der Beschwerdegegnerin auf- erlegt. 3. Die Beschwerdegegnerin wird verpflichtet, dem Beschwerdeführer die Par- teikosten in richterlich festgesetzter Höhe von Fr. 2'000.00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w:t>
      </w:r>
    </w:p>
    <w:p>
      <w:r>
        <w:t>- 8 -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 Mai 2023 Versicherungsgericht des Kantons Aargau 1. Kammer Der Präsident: Die Gerichtsschreiberin: Kathriner Käslin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