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VBE.2022.381 vom 11. Juli 2023</w:t>
      </w:r>
    </w:p>
    <w:p>
      <w:r>
        <w:t>Ag Versicherungsgericht, 2023-07-11, DE</w:t>
      </w:r>
    </w:p>
    <w:p>
      <w:r>
        <w:rPr>
          <w:b/>
        </w:rPr>
        <w:t xml:space="preserve">Quelle: </w:t>
      </w:r>
      <w:r>
        <w:t>https://mcp.opencaselaw.ch/entscheid/ag_versicherungsgericht_VBE.2022.381</w:t>
      </w:r>
    </w:p>
    <w:p>
      <w:r>
        <w:t>FR: AG_VERSICHERUNGSGERICHT VBE.2022.381 du 11 juillet 2023</w:t>
      </w:r>
    </w:p>
    <w:p>
      <w:r>
        <w:t>IT: AG_VERSICHERUNGSGERICHT VBE.2022.381 del 11 luglio 2023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Kammer VBE.2022.381 / sh / fi Art. 65 Urteil vom 11. Juli 2023 Besetzung Oberrichterin Peterhans, Präsidentin Oberrichterin Fischer Oberrichterin Gössi Gerichtsschreiberin Heinrich Beschwerde- A._____ führer vertreten durch lic. iur. Monica Armesto, Advokatin, Hauptstrasse 31, Postfach, 5070 Frick Beschwerde- Suva, Rechtsabteilung, Fluhmattstrasse 1, Postfach, 6002 Luzern gegnerin vertreten durch Dr. iur. Beat Frischkopf, Rechtsanwalt, Bahnhofstrasse 24, Postfach, 6210 Sursee Gegenstand Beschwerdeverfahren betreffend UVG (Einspracheentscheid vom 2. September 2022)</w:t>
      </w:r>
    </w:p>
    <w:p>
      <w:r>
        <w:t>- 2 - Das Versicherungsgericht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