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VBE.2022.340 vom 17. Mai 2023</w:t>
      </w:r>
    </w:p>
    <w:p>
      <w:r>
        <w:t>Ag Versicherungsgericht, 2023-05-17, DE</w:t>
      </w:r>
    </w:p>
    <w:p>
      <w:r>
        <w:rPr>
          <w:b/>
        </w:rPr>
        <w:t xml:space="preserve">Quelle: </w:t>
      </w:r>
      <w:r>
        <w:t>https://mcp.opencaselaw.ch/entscheid/ag_versicherungsgericht_VBE.2022.340</w:t>
      </w:r>
    </w:p>
    <w:p>
      <w:r>
        <w:t>FR: AG_VERSICHERUNGSGERICHT VBE.2022.340 du 17 mai 2023</w:t>
      </w:r>
    </w:p>
    <w:p>
      <w:r>
        <w:t>IT: AG_VERSICHERUNGSGERICHT VBE.2022.340 del 17 maggio 2023</w:t>
      </w:r>
    </w:p>
    <w:p>
      <w:pPr>
        <w:pStyle w:val="Heading2"/>
      </w:pPr>
      <w:r>
        <w:t>Erwägungen</w:t>
      </w:r>
    </w:p>
    <w:p>
      <w:r>
        <w:rPr>
          <w:b/>
        </w:rPr>
        <w:t>E. 11</w:t>
      </w:r>
    </w:p>
    <w:p>
      <w:r>
        <w:t>März 2020 an die Beschwerdegegnerin zur weiteren Abklärung zurück, weil auf die gutachterlichen Schlussfolgerungen nicht abgestellt werden konnte, da keine zuverlässige psychiatrische Arbeitsfähigkeitsbeurteilung in retrospektiver Hinsicht sowie für den Zeitraum zwischen der Begutach- tung und dem Verfügungserlass vorlag (E. 5.2.) und Unklarheiten betref- fend die neurologische Einschätzung in Zusammenhang mit Rehabilitati- onsmassnahmen bestanden (E. 5.3. des nämlichen Urteils; VB 206/10 f.).</w:t>
      </w:r>
    </w:p>
    <w:p>
      <w:r>
        <w:t>- 8 - Der Beschwerdegegnerin wurden indes keine Anweisungen erteilt, wie sie diese Abklärungen vorzunehmen hätte. Vor diesem Hintergrund ist es nicht zu beanstanden, dass die ABI-Gutachter eine eigene retrospektive Beur- teilung der Arbeitsfähigkeit vornahmen und die Beschwerdegegnerin auch auf diese abstellte. 6.3. Dem Beschwerdeführer wurden 20%ige Leistungseinschränkungen in den Disziplinen Otorhinolaryngologie und Psychiatrie attestiert (VB 237/39, 69). Entgegen der diesbezüglichen Ausführungen des Beschwerdeführers (Be- schwerde Rz. 23) ging der ophthalmologische Gutachter in einer ange- passten Tätigkeit von einer uneingeschränkten Arbeitsfähigkeit in quantita- tiver Hinsicht aus (VB 237/77). In der Konsensbeurteilung hielten die Gut- achter fest, die leicht reduzierte Leistungsfähigkeit in adaptierten Tätigkei- ten resultiere aus den Diagnosen verschiedener Fachbereiche, welche sich jedoch ergänzten und nicht addiert werden könnten, da der Beschwerde- führer dieselben Zeitabschnitte zum Einlegen von Pausen und zur Erholung nutzen könne (VB 237/12). Anlässlich der ergänzenden Stellungnahme vom 15. Dezember 2021 führten sie zudem aus, die Einschränkungen aus verschiedenen Fachrichtungen bedeuteten nicht, dass Pausen für die Ver- besserung der Sehfähigkeit oder der Schwindelproblematik einzulegen wä- ren. Es gehe generell darum, dass ein erhöhter Pausenbedarf Erholungs- phasen zulasse, was verschiedenen Organsystemen, die einer vermehrten Anstrengung bedürften, um funktionieren zu können, die Möglichkeit gebe, sich zwischenzeitlich auszuruhen und zu regenerieren. Die Einschränkun- gen der verschiedenen Fachrichtungen könnten über dieses Erholungsmo- dell abgegolten werden (VB 257/2). Bei der Beurteilung, ob sich die Leis- tungseinschränkungen aus den unterschiedlichen Bereichen addieren oder nicht, handelt es sich um eine Einschätzung der Arbeitsfähigkeit und somit um eine medizinische Frage, sodass die diesbezüglichen Ausführungen des Rechtsvertreters des Beschwerdeführers unbehelflich sind (vgl. etwa Urteile des Bundesgerichts 8C_409/2020 vom 5. Oktober 2020 E. 4.2.1; 8C_794/2017 vom 27. März 2018 E. 4.2.2 mit Hinweisen). Darüber hinaus begründeten die Gutachter nachvollziehbar und schlüssig, wieso sich diese Arbeitsunfähigkeiten nicht addieren. Es ist nicht ersichtlich, inwiefern es nicht möglich sein sollte, dass sich mehrere Organsysteme gleichzeitig in derselben Pause erholen können. 6.4. 6.4.1. Der Beschwerdeführer liess am 18. Juni 2021 ein MRI der LWS und der unteren BWS anfertigen. Prof. Dr. med. F., Facharzt für Radiologie, führte im entsprechenden Bericht aus, als segmentaler Hauptbefund lägen Zeichen einer flachen bis intraforaminal links reichenden mediolateralen Bandscheibenprotursion in LWK 2/3 mit konsekutiver Tangierung der L3- Wurzel beidseits rezessal sowie der L2-Wurzel links foraminal vor. Ferner</w:t>
      </w:r>
    </w:p>
    <w:p>
      <w:r>
        <w:t>- 9 - gäbe es Zeichen einer flachen Bandscheibenprotursion in LWK 3/4 mit leichter Tangierung der L4-Wurzel beidseits rezessal. Ebenso bestünden mehrsegmentale degenerative Veränderungen der LWS in Form von Osteochondrosen (Punctum maximum und leicht erosiv verändert in LWK 5/S 1 und leicht weniger ausgeprägt in LWK 2/3) (VB 252/8 f.). Am 30. Juni 2021 wurde wegen eines Gelenkergusses ebenfalls ein MRI des rechten Knies angefertigt. Der dortigen Beurteilung ist zu entnehmen, dass "[b]is hochgradige Knorpelschäden femoropatellär, teilweise möglicherweise frischeren Datums", weniger ausgeprägte fokale Knorpelschäden femorotibial lateral sowie ein grosser Gelenkserguss vorlägen (VB 252/7). Das ABI führte zu diesen beiden MRI am 15. Dezember 2021 aus, grund- sätzlich könne aus MRI-Untersuchungen ohne entsprechende Anamnese und Klinik keine Ableitung gemacht werden, da Menschen mit gravierenden Befunden im MRI nicht automatisch subjektive Beschwerden spüren müss- ten oder automatisch eine Funktionseinschränkung vorliege. Dement- sprechend sei die Wertigkeit einer bildgebenden Befunderhebung ohne Kontextinformation gering. Unbesehen davon sei im Vergleich zur bei der Begutachtung vorliegenden MRI-Untersuchung aus dem Jahr 2019 bezüg- lich BWS und LWS festzustellen, dass sich in der Zwischenzeit keine we- sentliche Veränderung ergeben habe. Somit könne aufgrund der Bildge- bung auch keine Veränderung beziehungsweise Verschlechterung abge- leitet werden. Bezüglich MRI-Untersuchung des Knies sei anzumerken, dass der Beschwerdeführer weder bei der Untersuchung noch in früheren fachärztlichen Berichten spezifische Beschwerden an den Knien angege- ben habe: er habe praktisch überall Beschwerden genannt, unter anderem auch in den Knien. Die klinische Untersuchung der Knie sei jedoch unauf- fällig gewesen. Gemäss der Notiz auf der MRI-Anmeldung habe der Be- schwerdeführer als Indikation der Untersuchung einen Erguss angegeben, wobei dann erhebliche degenerative Veränderungen festgestellt worden seien. Diese könnten zwischenzeitlich aktiviert werden und Beschwerden verursachen und dann wieder zur Ruhe kommen. Dies sei auch ein natür- licher Alterungsprozess mit zunehmenden degenerativen Veränderungen im Alter. Hierzu müsse der Verlauf der nächsten Jahre abgewartet werden, ob daraus eine gravierende Einschränkung resultiere, die über die bereits zuerkannten Einschränkungen mit Reduktion auf vor allem leichte bis sel- ten mittelschwere, wechselbelastende Tätigkeiten mit Leistungseinbusse von 20% hinausgehe. An der bestehenden Beurteilung könne daher fest- gehalten werden (VB 257). 6.4.2. Wegen Verdacht auf eine Rotatorenmanschettenruptur sowie aktivierte Arthrose wurde am 25. Februar 2022 ein Arthro-MRT der rechten Schulter durchgeführt. Gemäss der entsprechenden radiologischen Beurteilung liege ein Befund passend zu einer (überwiegend intramuralen) Partialläsion</w:t>
      </w:r>
    </w:p>
    <w:p>
      <w:r>
        <w:t>- 10 - der Supraspinatussehne vor, jedoch keine transmurale Ruptur und kein Ab- riss. Ebenso bestehe eine diskrete begleitende Bursitis, eine insbesondere superiore Limbusdegeneration sowie AC-Gelenksarthrose (VB 259/3). Dazu nahm das ABI mit Eingabe vom 2. Mai 2022 Stellung und führte aus, es sei allgemein anzumerken, dass bei fast allen 60-jährigen Menschen, insbesondere solchen, die körperlich jahrelang auch belastende Arbeiten ausgeübt hätten, an verschiedenen Orten des Bewegungsapparates dege- nerative Veränderungen nachweisbar seien, was ein durchaus physiologi- scher Prozess sei. Aus der rein bildgebenden MRI-Untersuchung sei ohne klinische Untersuchung und Beschwerdevalidierung wenig abzuleiten. Die im Arthro-MRI festgehaltenen Befunde seien effektiv im Sinne der degene- rativen, altersentsprechend zu erwartenden Veränderungen "grundsätzlich einordenbar". Rein aufgrund der Befunderhebung des MRI könne jeden- falls am Zumutbarkeitsprofil des Gutachtens, welches bereits auf leichte Tätigkeiten reduziert sei, festgehalten werden (VB 263). 6.4.3. Bei Gesundheitsschäden im Bereich der Orthopädie ist bei den Bewe- gungsprüfungen die Brauchbarkeit eines Gelenks, die praktische Leis- tungsfähigkeit bzw. die Behinderung im täglichen Leben ausschlaggebend (Urteil des Bundesgerichts 9C_93/2019 vom 10. April 2019 E. 4.1.2). Bei Gesundheitsschäden an der Wirbelsäule stellt zudem die klinische Unter- suchung (Inspektion) die wichtigste und feinste Prüfung dar (Urteile des Bundesgerichts 9C_234/2021 vom 13. August 2021 E. 3.2; 8C_839/2019 vom 12. Mai 2020 E. 3.2.1). Die lediglich bildgebend festgestellten dege- nerativen Veränderungen vermögen daher für sich alleine keine seit der Begutachtung eingetretene Verschlechterung des Gesundheitszustandes zu belegen. Die MRI-Befunde der Schulter und des Knies stellen gemäss der ABI-Stellungnahmen degenerative und erwartbare Veränderungen dar, welche somit nicht erst seit der Begutachtung entstanden sein konnten. Die rheumatologische ABI-Gutachterin untersuchte die Wirbelsäule (VB 237/44 f.), das rechte Knie sowie die Schultern (VB 237/45) des Be- schwerdeführers klinisch eingehend, war sich der vom Beschwerdeführer diesbezüglich geklagten Beschwerden (VB 237/43) bewusst und würdigte diese in nachvollziehbarer Art und Weise. Berichte über im Zusammenhang mit der veranlassten Bildgebung durchgeführte klinische Untersuchungen finden sich nicht in den Akten. Vor diesem Hintergrund sind die MRIs nicht geeignet, die gutachterlichen Schlussfolgerungen in Zweifel zu ziehen bzw. eine zwischenzeitlich eingetretene Änderung des Gesundheitszustandes zu belegen. In diesem Zusammenhang ist auch darauf hinzuweisen, dass eine fachärztliche gutachterliche Beurteilung des Gesundheitszustandes und der Arbeitsfähigkeit grundsätzlich nur gestützt auf eine ebenfalls fach- ärztlich abweichende Beurteilung entkräftet werden kann (vgl. etwa SVR 2019 IV Nr. 29 S. 91, 8C_584/2018 E. 4.1.1.2 mit Hinweisen). Eine solche liegt in casu nicht vor.</w:t>
      </w:r>
    </w:p>
    <w:p>
      <w:r>
        <w:t>- 11 - 6.5. Zusammenfassend ergeben sich demnach keine konkreten Indizien, die gegen die Vollständigkeit, Nachvollziehbarkeit und Schlüssigkeit des ABI- Gutachtens sprechen würden, weshalb von einer 80%igen Arbeitsfähigkeit des Beschwerdeführers in angepassten Tätigkeiten seit 2014 auszugehen ist. Der rechtserhebliche medizinische Sachverhalt erweist sich vor diesem Hintergrund als rechtsgenüglich abgeklärt; auf weitere Beweisvorkehren ist zu verzichten (BGE 144 V 361 E. 6.5 S. 368 f.). 7. 7.1. 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Für den Einkommensvergleich sind die Verhältnisse im Zeitpunkt des (po- tentiellen) Beginns des Rentenanspruchs massgebend, wobei Validen- und Invalideneinkommen auf zeitidentischer Grundlage zu erheben und allfäl- lige rentenwirksame Änderungen der Vergleichseinkommen bis zum Ver- fügungserlass zu berücksichtigen sind (BGE 129 V 222; 128 V 174). 7.2. Die Beschwerdegegnerin ermittelte das Valideneinkommen des Beschwer- deführers in der angefochtenen Verfügung aufgrund des (auf das Jahr 2015 aufindexierten) Durchschnittswertes der Jahre 2004 bis 2008 gemäss Aus- zug aus dem Individuellen Konto (IK) und gelangte auf ein solches von Fr. 77'080.00. Dem Invalideneinkommen legte sie den Totalwert der Män- ner des Kompetenzniveaus 1 der Lohnstrukturerhebung (LSE) 2014 zu- grunde, passte diesen an die betriebsübliche Arbeitszeit, die Nominallohn- entwicklung bis 2015 und die eingeschränkte Leistungsfähigkeit des Be- schwerdeführers an und gelangte auf ein Invalideneinkommen von</w:t>
      </w:r>
    </w:p>
    <w:p>
      <w:r>
        <w:t>- 12 - Fr. 53'317.00. Einen Abzug vom Tabellenlohn nahm sie nicht vor und ver- neinte bei einem Invaliditätsgrad von 31 % einen Rentenanspruch des Be- schwerdeführers (VB 270/3). Der Beschwerdeführer anerkennt im vorliegenden Fall die Notwendigkeit einer Durchschnittsberechnung für die Berechnung des Valideneinkom- mens, bemängelt jedoch, dass das Jahr 2005 darin miteinbezogen wurde, da er in diesem länger lediglich Krankentaggelder bezogen hätte (Be- schwerde Rz. 30). Betreffend das Invalideneinkommen sei auf die LSE 2018 abzustellen (Beschwerde Rz. 28) und aufgrund des Gutachtens des Büros BASS eine Reduktion vorzunehmen (Beschwerde Rz. 29). Fer- ner hätte die Beschwerdegegnerin das Invalideneinkommen aufgrund der gutachterlichen Ausführungen nicht auf 41.7 Wochenstunden aufrechnen dürfen (Beschwerde Rz. 24) und es sei ein Abzug vom Tabellenlohn in der Höhe von mindestens 10 % zu gewähren (Beschwerde Rz. 31 f.). 7.3. 7.3.1. 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Weist das zuletzt erzielte Einkommen starke und verhältnismässig kurzfris- tig in Erscheinung getretene Schwankungen auf, ist auf den während einer längeren Zeitspanne erzielten Durchschnittsverdienst abzustellen (Urteile des Bundesgerichts 9C_308/2020 vom 3. November 2020 E. 3.1; 8C_443/2018 vom 30. Januar 2019 E. 2.1 mit Hinweisen). 7.3.2. Zur Forderung des Beschwerdeführers, die Einkünfte des Beschwerdefüh- rers aus dem Jahr 2005 seien nicht in die Durchschnittsberechnung mitein- zubeziehen, ist Folgendes festzuhalten: Rechtsprechungsgemäss wird ein Durchschnittswert über eine längere Zeitspanne herangezogen. Es kann nicht angehen, einzelne Jahre (mitten) im Betrachtungszeitraum gänzlich unberücksichtigt zu lassen, da diesfalls der Sinn der Durchschnittsberech- nung ausgehöhlt würde. Die schwankenden Einkommen führen gerade zur Vornahme einer Durchschnittsberechnung; folglich können Jahre mit ex- tremen Schwankungen nicht aus der Berechnung ausgeklammert werden, da ohne diese unter Umständen gar keine solche Berechnung vorzuneh- men gewesen wäre. Die Beschränkung des Betrachtungszeitraum auf le- diglich drei Jahre erscheint vor dem Hintergrund der geforderten längeren</w:t>
      </w:r>
    </w:p>
    <w:p>
      <w:r>
        <w:t>- 13 - Zeitspanne sodann nicht zielführend (vgl. Urteil des Bundesge- richts 8C_329/2021 vom 27. Oktober 2021 E. 4.3.3). Wie die Beschwerde- gegnerin zudem treffend ausführte (vgl. VB 270/5), würde sowohl bei einer Ausweitung der Berechnungsperiode auf zehn Jahre als auch bei der Be- messung des Einkommens gestützt auf die LSE 2014 (Position 41-43 Bau- gewerbe [vgl. https://www.kubb-tool.bfs.admin.ch/de/code/4212; zuletzt besucht am: 11. Mai 2023]) ein tieferes Valideneinkommen resultieren, weshalb es zugunsten des Beschwerdeführers beim von der Beschwerde- gegnerin errechneten Valideneinkommen von Fr. 77'080.00 sein Bewen- den hat. 7.4. 7.4.1. Für die Festsetzung des Invalideneinkommens ist nach der Rechtspre- chung primär von der beruflich-erwerblichen Situation auszugehen, in wel- cher die versicherte Person konkret steht. Ist kein tatsächlich erzieltes Er- werbseinkommen gegeben, namentlich weil die versicherte Person nach Eintritt des Gesundheitsschadens keine oder jedenfalls keine ihr an sich zumutbare neue Erwerbstätigkeit aufgenommen hat, so können nach der Rechtsprechung die LSE-Tabellenlöhne herangezogen werden (BGE 135 V 297 E. 5.2 S. 301 mit Hinweis unter anderem auf BGE 129 V 472 E. 4.2.1 S. 475). Dabei wird praxisgemäss auf die standardisierten Bruttolöhne (Ta- bellengruppe A) abgestellt, wobei jeweils vom Zentralwert (Median) auszu- gehen ist (BGE 129 V 472 E. 4.2.1 S. 476 mit Hinweis auf BGE 124 V 321 E. 3b/aa S. 323). Diese Praxis wurde vom Bundesgericht im März 2022 bestätigt, wobei sich dieses explizit mit den Anregungen des Büros BASS auseinandergesetzt hatte (BGE 148 V 174, insbesondere E. 9.2 S. 189 ff.). Darauf wird verwie- sen. 7.4.2. Für den Einkommensvergleich sind die Verhältnisse im Zeitpunkt des Be- ginns des Rentenanspruchs massgebend (BGE 143 V 295 E. 4.1.3 S. 300). Validen- und Invalideneinkommen sind auf zeitidentischer Grund- lage zu erheben (BGE 129 V 222 E. 4.1 f. S. 223 f.). Wird auf Tabellenlöhne abgestellt, sind grundsätzlich die aktuellsten statistischen Daten zu verwen- den (BGE 143 V 295 E. 2.3 S. 297 mit Hinweisen). Damit sind indes nicht die im Verfügungszeitpunkt aktuellsten Tabellenwerte generell, sondern die im Verfügungszeitpunkt bezogen auf den Zeitpunkt des (potentiellen) Ren- tenbeginns aktuellsten veröffentlichten Daten gemeint (Urteile des Bundes- gerichts 8C_202/2021 vom 17. Dezember 2021 E. 6.2.2; 8C_132/2020 vom 18. Juni 2020 E. 4.1 und 4.2.1). Der frühestmögliche Rentenbeginn liegt vorliegend im Jahr 2015. Ent- sprechend sind sowohl das Validen- als auch das Invalideneinkommen für</w:t>
      </w:r>
    </w:p>
    <w:p>
      <w:r>
        <w:t>- 14 - das Jahr 2015 zu ermitteln. Demnach hat die Beschwerdegegnerin für die Bestimmung des Invalideneinkommens zu Recht auf die LSE 2014 abge- stellt. 7.4.3. Bei der Anwendung der Tabellengruppe A gilt es zu berücksichtigen, dass ihr generell eine Arbeitszeit von 40 Wochenstunden zugrunde liegt, welche tiefer ist, als die betriebsübliche durchschnittliche Arbeitszeit (BGE 124 V 321 E. 3b/aa S. 323; Urteil des Bundesgerichts 8C_1030/2009 vom 2. März 2010 E. 7.1). Die dem statistischen Invalidenlohn zugrunde lie- gende Wochenarbeitszeit ist somit grundsätzlich auf eine betriebsübliche wöchentliche Arbeitszeit umzurechnen (Urteil des Bundesge- richts 9C_422/2015 vom 7. Dezember 2015 E. 3.3). Die Gutachter legten dar, dass der Beschwerdeführer in einer angepassten Tätigkeit bei einer Einschränkung der Leistungsfähigkeit bei gering erhöh- tem Pausenbedarf und etwas vermindertem Rendement zu 80 % arbeits- und leistungsfähig sei (VB 237/12). In der ergänzenden gutachterlichen Stellungnahme vom 19. April 2023 wurde bestätigt, dass diese Leistungs- fähigkeit unabhängig von der exakten Präsenzzeit zu verstehen sei (vgl. E. 4.4.). Die Beschwerdegegnerin hat das Invalideneinkommen des Beschwerdeführers demnach zu Recht an die betriebsübliche wöchentliche Arbeitszeit aller Wirtschaftszweige angepasst. 7.4.4.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 Allfällige be- reits in der Beurteilung der medizinischen Arbeitsfähigkeit enthaltene ge- sundheitliche Einschränkungen dürfen dabei nicht zusätzlich in die Bemes- sung des leidensbedingten Abzugs einfliessen und so zu einer doppelten Anrechnung desselben Gesichtspunkts führen (BGE 146 V 16 E. 4.1 S. 20</w:t>
      </w:r>
    </w:p>
    <w:p>
      <w:r>
        <w:t>- 15 - mit Hinweis). Die Gewährung oder Verweigerung des Abzuges im Grund- satz ist eine Rechtsfrage, die Festlegung des Abzuges bis 25 % eine Er- messensfrage (MEYER/REICHMUTH, Rechtsprechung des Bundesgerichts zum Sozialversicherungsrecht, Bundesgesetz über die Invalidenversiche- rung [IVG], 4. Aufl. 2022, N. 104 ff. zu Art. 28a IVG). Der von der Beschwerdegegnerin beigezogene LSE-Tabellenlohn des Kompetenzniveaus 1 basiert auf einer Vielzahl (auch) leichter Tätigkeiten (vgl. statt vieler Urteil des Bundesgerichts 8C_799/2021 vom 3. März 2022 E. 4.3.2 mit Hinweis). Die gesundheitlichen Einschränkungen des Be- schwerdeführers wurden bereits (grösstenteils) im Belastungsprofil und der reduzierten Leistungsfähigkeit berücksichtigt und können in diesem Um- fang – wie bereits erwähnt – nicht zusätzlich zu einem leidensbedingten Abzug führen. Hilfsarbeiten werden auf dem massgebenden hypothetisch ausgeglichenen Arbeitsmarkt sodann nach ständiger Rechtsprechung al- tersunabhängig nachgefragt (vgl. statt vieler: Urteil des Bundesge- richts 9C_702/2020, 9C_703/2020 vom 1. Februar 2021 E. 6.3.2). Im Kom- petenzniveau 1 vermag eine lange Betriebszugehörigkeit ferner keinen Ab- zug zu rechtfertigen (SVR 2019 IV Nr. 28 S. 88, 9C_401/2018 E. 5.2.3). Wenn einer versicherten Person eine ganztägige Arbeit zumutbar ist, be- steht rechtsprechungsgemäss unter dem Aspekt Teilzeitbeschäftigung kein Raum für einen Abzug vom Tabellenlohn. Dies gilt unabhängig davon, ob dabei eine reduzierte Leistungsfähigkeit besteht oder nicht (Urteil des Bun- desgerichts 9C_708/2017 vom 23. Februar 2018 E. 9.2 mit Hinweisen). Der Beschwerdeführer verfügt über eine Niederlassungsbewilligung (VB 86/5) und hatte daher im Jahr 2014 mit einem rund 5 % tieferen Salär zu rechnen (LSE 2014, Tabelle T12_b, Monatlicher Bruttolohn [Zentralwert und Quartilbereich], Schweizer/innen und Ausländer/innen, nach berufli- cher Stellung und Geschlecht, Privater und öffentlicher Sektor [Bund, Kan- tone, Bezirke, Gemeinden, Körperschaften] zusammen, ohne Kaderfunk- tion, Männer, Median, Total = Fr. 6'057.00, Niedergelassene [Kat. C] = Fr. 5'757.00). Angesichts bestimmter leidensbedingter Einschränkungen und des Aufent- haltsstatus käme vorliegend in Gesamtwürdigung der Umstände allenfalls ein Abzug vom Tabellenlohn in der Höhe von 10 % in Frage. Dies kann aber offenbleiben, da auch bei Gewährung eines solchen kein rentenbe- gründender Invaliditätsgrad von mindestens 40 % resultieren würde (Inva- lideneinkommen von Fr. 47'985.00, Erwerbseinbusse von Fr. 29'095.00, Invaliditätsgrad von 38 %). 8. 8.1. Nach dem Dargelegten hat die Beschwerdegegnerin einen Anspruch des Beschwerdeführers auf eine Rente mit Verfügung vom 15. Juli 2022 zu</w:t>
      </w:r>
    </w:p>
    <w:p>
      <w:r>
        <w:t>- 16 - Recht verneint. Die dagegen erhobene Beschwerde ist folglich abzuwei- sen. 8.2. Gemäss Art. 69 Abs. 1bis IVG ist das Verfahren – entgegen der Annahme des Beschwerdeführers (Beschwerde Rz. 34) – kostenpflichtig. Die Kosten werden nach dem Verfahrensausgang und unabhängig vom Streitwert im Rahmen von Fr. 200.00 bis Fr. 1'000.00 festgesetzt. Für das vorliegende Verfahren betragen diese Fr. 800.00. Sie sind gemäss dem Verfahrensaus- gang dem Beschwerdeführer aufzuerlegen. 8.3. Dem Beschwerdeführer steht nach dem Ausgang des Verfahrens (Art. 61 lit. g ATSG) und der Beschwerdegegnerin aufgrund ihrer Stellung als Sozi- alversicherungsträgerin (BGE 126 V 143 E. 4 S. 149 ff.) keine Parteient- schädigung zu. Das Versicherungsgericht erkennt: 1. Die Beschwerde wird abgewiesen. 2. Die Verfahrenskosten von Fr. 800.00 werden dem Beschwerdeführer auf- erlegt. 3. Es werden keine Parteientschädigungen zugesprochen.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Mai 2023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